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07F6" w:rsidRDefault="000E07F6">
      <w:pPr>
        <w:pBdr>
          <w:top w:val="nil"/>
          <w:left w:val="nil"/>
          <w:bottom w:val="nil"/>
          <w:right w:val="nil"/>
          <w:between w:val="nil"/>
        </w:pBdr>
        <w:spacing w:line="276" w:lineRule="auto"/>
      </w:pPr>
    </w:p>
    <w:p w:rsidR="000E07F6" w:rsidRDefault="00D60FD9">
      <w:pPr>
        <w:widowControl/>
        <w:pBdr>
          <w:top w:val="nil"/>
          <w:left w:val="nil"/>
          <w:bottom w:val="nil"/>
          <w:right w:val="nil"/>
          <w:between w:val="nil"/>
        </w:pBdr>
        <w:spacing w:before="240" w:after="120"/>
        <w:rPr>
          <w:rFonts w:ascii="Arial" w:eastAsia="Arial" w:hAnsi="Arial" w:cs="Arial"/>
          <w:b/>
          <w:color w:val="000000"/>
          <w:sz w:val="36"/>
          <w:szCs w:val="36"/>
        </w:rPr>
      </w:pPr>
      <w:r>
        <w:rPr>
          <w:rFonts w:ascii="Arial" w:eastAsia="Arial" w:hAnsi="Arial" w:cs="Arial"/>
          <w:b/>
          <w:color w:val="000000"/>
          <w:sz w:val="36"/>
          <w:szCs w:val="36"/>
        </w:rPr>
        <w:t>Framework Schedule 7 (Call-Off Award Procedure</w:t>
      </w:r>
      <w:bookmarkStart w:id="0" w:name="bookmark=id.gjdgxs" w:colFirst="0" w:colLast="0"/>
      <w:bookmarkEnd w:id="0"/>
      <w:r>
        <w:rPr>
          <w:rFonts w:ascii="Arial" w:eastAsia="Arial" w:hAnsi="Arial" w:cs="Arial"/>
          <w:b/>
          <w:color w:val="000000"/>
          <w:sz w:val="36"/>
          <w:szCs w:val="36"/>
        </w:rPr>
        <w:t xml:space="preserve">) </w:t>
      </w:r>
    </w:p>
    <w:p w:rsidR="000E07F6" w:rsidRDefault="00D60FD9">
      <w:pPr>
        <w:widowControl/>
        <w:pBdr>
          <w:top w:val="nil"/>
          <w:left w:val="nil"/>
          <w:bottom w:val="nil"/>
          <w:right w:val="nil"/>
          <w:between w:val="nil"/>
        </w:pBdr>
        <w:spacing w:before="240" w:after="120"/>
        <w:rPr>
          <w:rFonts w:ascii="Arial" w:eastAsia="Arial" w:hAnsi="Arial" w:cs="Arial"/>
          <w:b/>
          <w:color w:val="000000"/>
          <w:sz w:val="36"/>
          <w:szCs w:val="36"/>
        </w:rPr>
      </w:pPr>
      <w:r>
        <w:rPr>
          <w:rFonts w:ascii="Arial" w:eastAsia="Arial" w:hAnsi="Arial" w:cs="Arial"/>
          <w:b/>
          <w:color w:val="000000"/>
          <w:sz w:val="36"/>
          <w:szCs w:val="36"/>
        </w:rPr>
        <w:t>Part 1: Order Procedure</w:t>
      </w:r>
    </w:p>
    <w:p w:rsidR="000E07F6" w:rsidRDefault="00D60FD9">
      <w:pPr>
        <w:keepNext/>
        <w:widowControl/>
        <w:numPr>
          <w:ilvl w:val="0"/>
          <w:numId w:val="4"/>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Call-Off Contract is awarded</w:t>
      </w:r>
    </w:p>
    <w:p w:rsidR="000E07F6" w:rsidRDefault="00D60FD9">
      <w:pPr>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If a potential Buyer decides to source Deliverables through this Contract then it will award its Deliverables in accordance with the procedure in this Schedule and the requirements of the Regulations.</w:t>
      </w:r>
    </w:p>
    <w:p w:rsidR="000E07F6" w:rsidRDefault="00D60FD9">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If the potential Buyer can determine that:</w:t>
      </w:r>
    </w:p>
    <w:p w:rsidR="000E07F6" w:rsidRDefault="00D60FD9">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its Deliverables can be met by the Suppliers’ catalogues and description of the Deliverables as set out in Framework Schedule 1 (Specification) and Framework Schedule 2 (Framework Tender); and</w:t>
      </w:r>
    </w:p>
    <w:p w:rsidR="000E07F6" w:rsidRDefault="00D60FD9">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all of the terms of the proposed Call-Off Contract are laid down in this Contract and do not require amendment or any supplementary terms and conditions;</w:t>
      </w:r>
    </w:p>
    <w:p w:rsidR="000E07F6" w:rsidRDefault="00D60FD9">
      <w:pPr>
        <w:widowControl/>
        <w:pBdr>
          <w:top w:val="nil"/>
          <w:left w:val="nil"/>
          <w:bottom w:val="nil"/>
          <w:right w:val="nil"/>
          <w:between w:val="nil"/>
        </w:pBdr>
        <w:tabs>
          <w:tab w:val="left" w:pos="4536"/>
        </w:tabs>
        <w:spacing w:after="220"/>
        <w:ind w:left="936"/>
        <w:rPr>
          <w:rFonts w:ascii="Arial" w:eastAsia="Arial" w:hAnsi="Arial" w:cs="Arial"/>
          <w:color w:val="000000"/>
          <w:sz w:val="24"/>
          <w:szCs w:val="24"/>
        </w:rPr>
      </w:pPr>
      <w:r>
        <w:rPr>
          <w:rFonts w:ascii="Arial" w:eastAsia="Arial" w:hAnsi="Arial" w:cs="Arial"/>
          <w:color w:val="000000"/>
          <w:sz w:val="24"/>
          <w:szCs w:val="24"/>
        </w:rPr>
        <w:t>then the Buyer may award a Call-Off Contract in accordance with the procedure set out in Paragraph 2 below.</w:t>
      </w:r>
    </w:p>
    <w:p w:rsidR="000E07F6" w:rsidRDefault="00D60FD9">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If all of the terms of the proposed Call-Off Contract are not laid down in this Contract and the potential Buyer:</w:t>
      </w:r>
    </w:p>
    <w:p w:rsidR="000E07F6" w:rsidRDefault="00D60FD9">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requires the Supplier to develop proposals or a solution in respect of such Deliverables; and/or</w:t>
      </w:r>
    </w:p>
    <w:p w:rsidR="000E07F6" w:rsidRDefault="00D60FD9">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needs to amend or refine the terms of the Framework Contract to reflect its Deliverables to the extent permitted by and in accordance with the Regulations;</w:t>
      </w:r>
    </w:p>
    <w:p w:rsidR="000E07F6" w:rsidRDefault="00D60FD9">
      <w:pPr>
        <w:widowControl/>
        <w:pBdr>
          <w:top w:val="nil"/>
          <w:left w:val="nil"/>
          <w:bottom w:val="nil"/>
          <w:right w:val="nil"/>
          <w:between w:val="nil"/>
        </w:pBdr>
        <w:tabs>
          <w:tab w:val="left" w:pos="4536"/>
        </w:tabs>
        <w:spacing w:after="220"/>
        <w:ind w:left="900"/>
        <w:rPr>
          <w:rFonts w:ascii="Arial" w:eastAsia="Arial" w:hAnsi="Arial" w:cs="Arial"/>
          <w:color w:val="000000"/>
          <w:sz w:val="24"/>
          <w:szCs w:val="24"/>
        </w:rPr>
      </w:pPr>
      <w:r>
        <w:rPr>
          <w:rFonts w:ascii="Arial" w:eastAsia="Arial" w:hAnsi="Arial" w:cs="Arial"/>
          <w:color w:val="000000"/>
          <w:sz w:val="24"/>
          <w:szCs w:val="24"/>
        </w:rPr>
        <w:t>then the Buyer may award a Call-Off Contract in accordance with the Further Competition Procedure set out in Paragraph 3 below.</w:t>
      </w:r>
    </w:p>
    <w:p w:rsidR="000E07F6" w:rsidRDefault="00D60FD9">
      <w:pPr>
        <w:keepNext/>
        <w:widowControl/>
        <w:numPr>
          <w:ilvl w:val="0"/>
          <w:numId w:val="3"/>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direc</w:t>
      </w:r>
      <w:bookmarkStart w:id="3" w:name="_GoBack"/>
      <w:bookmarkEnd w:id="3"/>
      <w:r>
        <w:rPr>
          <w:rFonts w:ascii="Arial Bold" w:eastAsia="Arial Bold" w:hAnsi="Arial Bold" w:cs="Arial Bold"/>
          <w:b/>
          <w:color w:val="000000"/>
          <w:sz w:val="24"/>
          <w:szCs w:val="24"/>
        </w:rPr>
        <w:t>t award works</w:t>
      </w:r>
    </w:p>
    <w:p w:rsidR="000E07F6" w:rsidRDefault="00D60FD9">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Subject to Paragraph 1.2 above the Buyer awarding a Call-Off Contract under this Contract without holding a further competition shall:</w:t>
      </w:r>
    </w:p>
    <w:p w:rsidR="000E07F6" w:rsidRDefault="00D60FD9">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develop a clear Statement of Requirements</w:t>
      </w:r>
      <w:r w:rsidR="00A258F8">
        <w:rPr>
          <w:rFonts w:ascii="Arial" w:eastAsia="Arial" w:hAnsi="Arial" w:cs="Arial"/>
          <w:color w:val="000000"/>
          <w:sz w:val="24"/>
          <w:szCs w:val="24"/>
        </w:rPr>
        <w:t xml:space="preserve"> (SoR)</w:t>
      </w:r>
      <w:r>
        <w:rPr>
          <w:rFonts w:ascii="Arial" w:eastAsia="Arial" w:hAnsi="Arial" w:cs="Arial"/>
          <w:color w:val="000000"/>
          <w:sz w:val="24"/>
          <w:szCs w:val="24"/>
        </w:rPr>
        <w:t>;</w:t>
      </w:r>
    </w:p>
    <w:p w:rsidR="00A258F8" w:rsidRDefault="00A258F8" w:rsidP="00A258F8">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On receipt of the SoR and or in discussions with the Buyer </w:t>
      </w:r>
      <w:r w:rsidRPr="00A258F8">
        <w:rPr>
          <w:rFonts w:ascii="Arial" w:eastAsia="Arial" w:hAnsi="Arial" w:cs="Arial"/>
          <w:color w:val="000000"/>
          <w:sz w:val="24"/>
          <w:szCs w:val="24"/>
        </w:rPr>
        <w:t xml:space="preserve">Suppliers can deselect themselves </w:t>
      </w:r>
      <w:r>
        <w:rPr>
          <w:rFonts w:ascii="Arial" w:eastAsia="Arial" w:hAnsi="Arial" w:cs="Arial"/>
          <w:color w:val="000000"/>
          <w:sz w:val="24"/>
          <w:szCs w:val="24"/>
        </w:rPr>
        <w:t>from</w:t>
      </w:r>
      <w:r w:rsidRPr="00A258F8">
        <w:rPr>
          <w:rFonts w:ascii="Arial" w:eastAsia="Arial" w:hAnsi="Arial" w:cs="Arial"/>
          <w:color w:val="000000"/>
          <w:sz w:val="24"/>
          <w:szCs w:val="24"/>
        </w:rPr>
        <w:t xml:space="preserve"> the process</w:t>
      </w:r>
      <w:r>
        <w:rPr>
          <w:rFonts w:ascii="Arial" w:eastAsia="Arial" w:hAnsi="Arial" w:cs="Arial"/>
          <w:color w:val="000000"/>
          <w:sz w:val="24"/>
          <w:szCs w:val="24"/>
        </w:rPr>
        <w:t xml:space="preserve"> before developing a Supplier proposal. </w:t>
      </w:r>
    </w:p>
    <w:p w:rsidR="00A258F8" w:rsidRDefault="00A258F8" w:rsidP="00A258F8">
      <w:pPr>
        <w:widowControl/>
        <w:pBdr>
          <w:top w:val="nil"/>
          <w:left w:val="nil"/>
          <w:bottom w:val="nil"/>
          <w:right w:val="nil"/>
          <w:between w:val="nil"/>
        </w:pBdr>
        <w:tabs>
          <w:tab w:val="left" w:pos="3641"/>
        </w:tabs>
        <w:spacing w:before="120" w:after="120"/>
        <w:ind w:left="2610"/>
        <w:rPr>
          <w:rFonts w:ascii="Arial" w:eastAsia="Arial" w:hAnsi="Arial" w:cs="Arial"/>
          <w:color w:val="000000"/>
          <w:sz w:val="24"/>
          <w:szCs w:val="24"/>
        </w:rPr>
      </w:pPr>
    </w:p>
    <w:p w:rsidR="00A258F8" w:rsidRDefault="00A258F8" w:rsidP="00A258F8">
      <w:pPr>
        <w:widowControl/>
        <w:pBdr>
          <w:top w:val="nil"/>
          <w:left w:val="nil"/>
          <w:bottom w:val="nil"/>
          <w:right w:val="nil"/>
          <w:between w:val="nil"/>
        </w:pBdr>
        <w:tabs>
          <w:tab w:val="left" w:pos="3641"/>
        </w:tabs>
        <w:spacing w:before="120" w:after="120"/>
        <w:ind w:left="2610"/>
        <w:rPr>
          <w:rFonts w:ascii="Arial" w:eastAsia="Arial" w:hAnsi="Arial" w:cs="Arial"/>
          <w:color w:val="000000"/>
          <w:sz w:val="24"/>
          <w:szCs w:val="24"/>
        </w:rPr>
      </w:pPr>
    </w:p>
    <w:p w:rsidR="00A258F8" w:rsidRDefault="00A258F8" w:rsidP="00A258F8">
      <w:pPr>
        <w:widowControl/>
        <w:pBdr>
          <w:top w:val="nil"/>
          <w:left w:val="nil"/>
          <w:bottom w:val="nil"/>
          <w:right w:val="nil"/>
          <w:between w:val="nil"/>
        </w:pBdr>
        <w:tabs>
          <w:tab w:val="left" w:pos="3641"/>
        </w:tabs>
        <w:spacing w:before="120" w:after="120"/>
        <w:ind w:left="2610"/>
        <w:rPr>
          <w:rFonts w:ascii="Arial" w:eastAsia="Arial" w:hAnsi="Arial" w:cs="Arial"/>
          <w:color w:val="000000"/>
          <w:sz w:val="24"/>
          <w:szCs w:val="24"/>
        </w:rPr>
      </w:pPr>
    </w:p>
    <w:p w:rsidR="00A258F8" w:rsidRPr="00A258F8" w:rsidRDefault="00A258F8" w:rsidP="000349E5">
      <w:pPr>
        <w:widowControl/>
        <w:pBdr>
          <w:top w:val="nil"/>
          <w:left w:val="nil"/>
          <w:bottom w:val="nil"/>
          <w:right w:val="nil"/>
          <w:between w:val="nil"/>
        </w:pBdr>
        <w:tabs>
          <w:tab w:val="left" w:pos="3641"/>
        </w:tabs>
        <w:spacing w:before="120" w:after="120"/>
        <w:ind w:left="2610"/>
        <w:rPr>
          <w:rFonts w:ascii="Arial" w:eastAsia="Arial" w:hAnsi="Arial" w:cs="Arial"/>
          <w:color w:val="000000"/>
          <w:sz w:val="24"/>
          <w:szCs w:val="24"/>
        </w:rPr>
      </w:pPr>
    </w:p>
    <w:p w:rsidR="000E07F6" w:rsidRDefault="00D60FD9">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apply the direct award criteria to the Suppliers’ proposal to the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p>
    <w:p w:rsidR="000E07F6" w:rsidRDefault="00D60FD9">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on the basis set out above, the buyer has the ability to conduct further negotiation as is necessary to then award the Call-Off Contract with the successful Supplier in accordance with Paragraph 6 below.</w:t>
      </w:r>
    </w:p>
    <w:p w:rsidR="000E07F6" w:rsidRDefault="000E07F6">
      <w:pPr>
        <w:widowControl/>
        <w:pBdr>
          <w:top w:val="nil"/>
          <w:left w:val="nil"/>
          <w:bottom w:val="nil"/>
          <w:right w:val="nil"/>
          <w:between w:val="nil"/>
        </w:pBdr>
        <w:tabs>
          <w:tab w:val="left" w:pos="3641"/>
        </w:tabs>
        <w:spacing w:before="120" w:after="120"/>
        <w:ind w:left="1985"/>
        <w:rPr>
          <w:rFonts w:ascii="Arial" w:eastAsia="Arial" w:hAnsi="Arial" w:cs="Arial"/>
          <w:color w:val="000000"/>
          <w:sz w:val="24"/>
          <w:szCs w:val="24"/>
        </w:rPr>
      </w:pPr>
    </w:p>
    <w:p w:rsidR="000E07F6" w:rsidRDefault="00D60FD9">
      <w:pPr>
        <w:keepNext/>
        <w:widowControl/>
        <w:numPr>
          <w:ilvl w:val="0"/>
          <w:numId w:val="3"/>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further competition works</w:t>
      </w:r>
    </w:p>
    <w:p w:rsidR="000E07F6" w:rsidRDefault="00D60FD9">
      <w:pPr>
        <w:keepNext/>
        <w:widowControl/>
        <w:pBdr>
          <w:top w:val="nil"/>
          <w:left w:val="nil"/>
          <w:bottom w:val="nil"/>
          <w:right w:val="nil"/>
          <w:between w:val="nil"/>
        </w:pBdr>
        <w:tabs>
          <w:tab w:val="left" w:pos="3054"/>
        </w:tabs>
        <w:spacing w:before="120" w:after="120"/>
        <w:ind w:left="1134" w:hanging="774"/>
        <w:rPr>
          <w:rFonts w:ascii="Arial" w:eastAsia="Arial" w:hAnsi="Arial" w:cs="Arial"/>
          <w:b/>
          <w:color w:val="000000"/>
          <w:sz w:val="24"/>
          <w:szCs w:val="24"/>
        </w:rPr>
      </w:pPr>
      <w:r>
        <w:rPr>
          <w:rFonts w:ascii="Arial" w:eastAsia="Arial" w:hAnsi="Arial" w:cs="Arial"/>
          <w:b/>
          <w:color w:val="000000"/>
          <w:sz w:val="24"/>
          <w:szCs w:val="24"/>
        </w:rPr>
        <w:t>What the Buyer has to do</w:t>
      </w:r>
    </w:p>
    <w:p w:rsidR="000E07F6" w:rsidRDefault="00D60FD9">
      <w:pPr>
        <w:widowControl/>
        <w:numPr>
          <w:ilvl w:val="1"/>
          <w:numId w:val="3"/>
        </w:numPr>
        <w:pBdr>
          <w:top w:val="nil"/>
          <w:left w:val="nil"/>
          <w:bottom w:val="nil"/>
          <w:right w:val="nil"/>
          <w:between w:val="nil"/>
        </w:pBdr>
        <w:spacing w:before="120" w:after="280" w:line="259" w:lineRule="auto"/>
        <w:jc w:val="both"/>
      </w:pPr>
      <w:r>
        <w:rPr>
          <w:rFonts w:ascii="Arial" w:eastAsia="Arial" w:hAnsi="Arial" w:cs="Arial"/>
          <w:color w:val="000000"/>
        </w:rPr>
        <w:t xml:space="preserve">If applicable, the Buyer may use the following procedure to shortlist Suppliers before entering into a Further Competition Procedure: </w:t>
      </w:r>
    </w:p>
    <w:p w:rsidR="000E07F6" w:rsidRDefault="00D60FD9">
      <w:pPr>
        <w:widowControl/>
        <w:numPr>
          <w:ilvl w:val="2"/>
          <w:numId w:val="3"/>
        </w:numPr>
        <w:pBdr>
          <w:top w:val="nil"/>
          <w:left w:val="nil"/>
          <w:bottom w:val="nil"/>
          <w:right w:val="nil"/>
          <w:between w:val="nil"/>
        </w:pBdr>
        <w:spacing w:before="120" w:after="280" w:line="259" w:lineRule="auto"/>
      </w:pPr>
      <w:r>
        <w:rPr>
          <w:rFonts w:ascii="Arial" w:eastAsia="Arial" w:hAnsi="Arial" w:cs="Arial"/>
          <w:color w:val="000000"/>
        </w:rPr>
        <w:t xml:space="preserve">Service Filters – The Buyer will produce a Supplier shortlist based on the Service Filters. </w:t>
      </w:r>
    </w:p>
    <w:p w:rsidR="000E07F6" w:rsidRDefault="00D60FD9">
      <w:pPr>
        <w:widowControl/>
        <w:numPr>
          <w:ilvl w:val="2"/>
          <w:numId w:val="3"/>
        </w:numPr>
        <w:pBdr>
          <w:top w:val="nil"/>
          <w:left w:val="nil"/>
          <w:bottom w:val="nil"/>
          <w:right w:val="nil"/>
          <w:between w:val="nil"/>
        </w:pBdr>
        <w:spacing w:before="120" w:after="280" w:line="259" w:lineRule="auto"/>
      </w:pPr>
      <w:bookmarkStart w:id="4" w:name="_heading=h.gjdgxs" w:colFirst="0" w:colLast="0"/>
      <w:bookmarkEnd w:id="4"/>
      <w:r>
        <w:rPr>
          <w:rFonts w:ascii="Arial" w:eastAsia="Arial" w:hAnsi="Arial" w:cs="Arial"/>
          <w:color w:val="000000"/>
        </w:rPr>
        <w:t xml:space="preserve">Expression Of Interest (EOI) – The Buyer may use an EOI process to produce a Supplier shortlist. The EOI may contain the following details but is not limited to: scope, scale, timescales, incumbent supplier, grades, payment terms, capacity and/or budget. </w:t>
      </w:r>
    </w:p>
    <w:p w:rsidR="000E07F6" w:rsidRDefault="00D60FD9">
      <w:pPr>
        <w:widowControl/>
        <w:numPr>
          <w:ilvl w:val="2"/>
          <w:numId w:val="3"/>
        </w:numPr>
        <w:pBdr>
          <w:top w:val="nil"/>
          <w:left w:val="nil"/>
          <w:bottom w:val="nil"/>
          <w:right w:val="nil"/>
          <w:between w:val="nil"/>
        </w:pBdr>
        <w:spacing w:before="120" w:after="280" w:line="259" w:lineRule="auto"/>
      </w:pPr>
      <w:r>
        <w:rPr>
          <w:rFonts w:ascii="Arial" w:eastAsia="Arial" w:hAnsi="Arial" w:cs="Arial"/>
          <w:color w:val="000000"/>
        </w:rPr>
        <w:t xml:space="preserve">Service Filters and Expression of Interest – The Buyer may use both of the procedures detailed in paragraph 3.1.2 and 3.1.3. </w:t>
      </w:r>
    </w:p>
    <w:p w:rsidR="000E07F6" w:rsidRDefault="00D60FD9">
      <w:pPr>
        <w:widowControl/>
        <w:numPr>
          <w:ilvl w:val="2"/>
          <w:numId w:val="3"/>
        </w:numPr>
        <w:pBdr>
          <w:top w:val="nil"/>
          <w:left w:val="nil"/>
          <w:bottom w:val="nil"/>
          <w:right w:val="nil"/>
          <w:between w:val="nil"/>
        </w:pBdr>
        <w:spacing w:before="120" w:after="280" w:line="259" w:lineRule="auto"/>
      </w:pPr>
      <w:r>
        <w:rPr>
          <w:rFonts w:ascii="Arial" w:eastAsia="Arial" w:hAnsi="Arial" w:cs="Arial"/>
          <w:color w:val="000000"/>
        </w:rPr>
        <w:t xml:space="preserve">Conference call – The Buyer may use this after the EOI. The Buyer will provide further information on its requirement and Suppliers may have the opportunity to raise queries. </w:t>
      </w:r>
    </w:p>
    <w:p w:rsidR="000E07F6" w:rsidRDefault="00D60FD9">
      <w:pPr>
        <w:widowControl/>
        <w:numPr>
          <w:ilvl w:val="2"/>
          <w:numId w:val="3"/>
        </w:numPr>
        <w:pBdr>
          <w:top w:val="nil"/>
          <w:left w:val="nil"/>
          <w:bottom w:val="nil"/>
          <w:right w:val="nil"/>
          <w:between w:val="nil"/>
        </w:pBdr>
        <w:spacing w:before="120" w:after="280" w:line="259" w:lineRule="auto"/>
      </w:pPr>
      <w:r>
        <w:rPr>
          <w:rFonts w:ascii="Arial" w:eastAsia="Arial" w:hAnsi="Arial" w:cs="Arial"/>
          <w:color w:val="000000"/>
        </w:rPr>
        <w:t xml:space="preserve">Suppliers can deselect themselves through the process after the Service Filters and/or EOI and/or conference call. </w:t>
      </w:r>
    </w:p>
    <w:p w:rsidR="000E07F6" w:rsidRDefault="00D60FD9">
      <w:pPr>
        <w:widowControl/>
        <w:numPr>
          <w:ilvl w:val="1"/>
          <w:numId w:val="3"/>
        </w:numPr>
        <w:pBdr>
          <w:top w:val="nil"/>
          <w:left w:val="nil"/>
          <w:bottom w:val="nil"/>
          <w:right w:val="nil"/>
          <w:between w:val="nil"/>
        </w:pBdr>
        <w:spacing w:before="120" w:after="280" w:line="259" w:lineRule="auto"/>
        <w:jc w:val="both"/>
      </w:pPr>
      <w:r>
        <w:rPr>
          <w:rFonts w:ascii="Arial" w:eastAsia="Arial" w:hAnsi="Arial" w:cs="Arial"/>
          <w:color w:val="000000"/>
        </w:rPr>
        <w:t xml:space="preserve">If the Supplier does not respond to the EOI in accordance with any stated timescales they will not be invited to participate in the Further Competition Procedure. </w:t>
      </w:r>
    </w:p>
    <w:p w:rsidR="000E07F6" w:rsidRDefault="00D60FD9">
      <w:pPr>
        <w:widowControl/>
        <w:numPr>
          <w:ilvl w:val="1"/>
          <w:numId w:val="3"/>
        </w:numPr>
        <w:pBdr>
          <w:top w:val="nil"/>
          <w:left w:val="nil"/>
          <w:bottom w:val="nil"/>
          <w:right w:val="nil"/>
          <w:between w:val="nil"/>
        </w:pBdr>
        <w:spacing w:before="120" w:after="280" w:line="259" w:lineRule="auto"/>
        <w:jc w:val="both"/>
      </w:pPr>
      <w:r>
        <w:rPr>
          <w:rFonts w:ascii="Arial" w:eastAsia="Arial" w:hAnsi="Arial" w:cs="Arial"/>
          <w:color w:val="000000"/>
        </w:rPr>
        <w:t xml:space="preserve">If the Supplier is invited to the conference call and they do not attend they may not be invited to participate in the Further Competition Procedure. </w:t>
      </w:r>
    </w:p>
    <w:p w:rsidR="000E07F6" w:rsidRDefault="00D60FD9">
      <w:pPr>
        <w:widowControl/>
        <w:numPr>
          <w:ilvl w:val="1"/>
          <w:numId w:val="3"/>
        </w:numPr>
        <w:pBdr>
          <w:top w:val="nil"/>
          <w:left w:val="nil"/>
          <w:bottom w:val="nil"/>
          <w:right w:val="nil"/>
          <w:between w:val="nil"/>
        </w:pBdr>
        <w:spacing w:before="120" w:after="280" w:line="259" w:lineRule="auto"/>
        <w:jc w:val="both"/>
      </w:pPr>
      <w:r>
        <w:rPr>
          <w:rFonts w:ascii="Arial" w:eastAsia="Arial" w:hAnsi="Arial" w:cs="Arial"/>
          <w:color w:val="000000"/>
        </w:rPr>
        <w:t xml:space="preserve">CCS reserves the right to add or change the Services Filters and the EOI template throughout the lifetime of the Framework Agreement. </w:t>
      </w:r>
    </w:p>
    <w:p w:rsidR="000E07F6" w:rsidRDefault="00D60FD9">
      <w:pPr>
        <w:widowControl/>
        <w:numPr>
          <w:ilvl w:val="1"/>
          <w:numId w:val="3"/>
        </w:numPr>
        <w:pBdr>
          <w:top w:val="nil"/>
          <w:left w:val="nil"/>
          <w:bottom w:val="nil"/>
          <w:right w:val="nil"/>
          <w:between w:val="nil"/>
        </w:pBdr>
        <w:spacing w:before="120" w:after="280" w:line="259" w:lineRule="auto"/>
        <w:jc w:val="both"/>
      </w:pPr>
      <w:r>
        <w:rPr>
          <w:rFonts w:ascii="Arial" w:eastAsia="Arial" w:hAnsi="Arial" w:cs="Arial"/>
          <w:color w:val="000000"/>
        </w:rPr>
        <w:lastRenderedPageBreak/>
        <w:t xml:space="preserve">The Supplier may update their Service Filters during the lifetime of the Framework Agreement subject to you providing a customer reference. </w:t>
      </w:r>
    </w:p>
    <w:p w:rsidR="000E07F6" w:rsidRDefault="00D60FD9">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awarding a Call-Off Contract under this Contract through a Further Competition Procedure shall:</w:t>
      </w:r>
    </w:p>
    <w:p w:rsidR="000E07F6" w:rsidRDefault="00D60FD9">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develop a Statement of Requirements setting out its requirements for the Deliverables and identify the Suppliers capable of supplying the them;</w:t>
      </w:r>
    </w:p>
    <w:p w:rsidR="000E07F6" w:rsidRDefault="00D60FD9">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amend or refine the Deliverables to reflect its requirements by using the Order Form only to the extent permitted by and in accordance with the requirements of the Regulations;</w:t>
      </w:r>
    </w:p>
    <w:p w:rsidR="000E07F6" w:rsidRDefault="00D60FD9">
      <w:pPr>
        <w:keepNext/>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t>invite tenders by conducting a Further Competition Procedure for its Deliverables in accordance with the Regulations and in particular:</w:t>
      </w:r>
    </w:p>
    <w:p w:rsidR="000E07F6" w:rsidRDefault="00D60FD9">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if an Electronic Reverse Auction (as defined in Paragraph 7 below) is to be held, the Buyer shall notify the Suppliers identified in accordance with Paragraph 3.1.1 and shall conduct the Further Competition Procedure in accordance with the procedures set out in Paragraph 3; or</w:t>
      </w:r>
    </w:p>
    <w:p w:rsidR="000E07F6" w:rsidRDefault="00D60FD9">
      <w:pPr>
        <w:keepNext/>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if an Electronic Reverse Auction is not used, the Buyer shall:</w:t>
      </w:r>
    </w:p>
    <w:p w:rsidR="000E07F6" w:rsidRDefault="00D60FD9">
      <w:pPr>
        <w:widowControl/>
        <w:numPr>
          <w:ilvl w:val="4"/>
          <w:numId w:val="3"/>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invite the Suppliers identified in accordance with Paragraph 3.1.1 to submit a tender in writing for each proposed Call-Off Contract to be awarded by giving written notice by email to the relevant Supplier Representative of each Supplier;</w:t>
      </w:r>
    </w:p>
    <w:p w:rsidR="000E07F6" w:rsidRDefault="00D60FD9">
      <w:pPr>
        <w:widowControl/>
        <w:numPr>
          <w:ilvl w:val="4"/>
          <w:numId w:val="3"/>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set a time limit for the receipt by it of the tenders which takes into account factors such as the complexity of the subject matter of the proposed Call-Off Contract and the time needed to submit tenders; and</w:t>
      </w:r>
    </w:p>
    <w:p w:rsidR="000E07F6" w:rsidRDefault="00D60FD9">
      <w:pPr>
        <w:widowControl/>
        <w:numPr>
          <w:ilvl w:val="4"/>
          <w:numId w:val="3"/>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keep each tender confidential until the time limit set out for the return of tenders has expired.</w:t>
      </w:r>
    </w:p>
    <w:p w:rsidR="000E07F6" w:rsidRDefault="00D60FD9">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apply the further competition award criteria to the Suppliers' compliant tenders submitted through the Further Competition Procedure as the basis of its decision to award a Call-Off Contract for its Deliverables;</w:t>
      </w:r>
    </w:p>
    <w:p w:rsidR="000E07F6" w:rsidRDefault="00D60FD9">
      <w:pPr>
        <w:keepNext/>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on the basis set out above, award its Call-Off Contract to the successful Supplier in accordance with Paragraph 6. The Call-Off Contract shall:</w:t>
      </w:r>
    </w:p>
    <w:p w:rsidR="000E07F6" w:rsidRDefault="00D60FD9">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Deliverables;</w:t>
      </w:r>
    </w:p>
    <w:p w:rsidR="000E07F6" w:rsidRDefault="00D60FD9">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tender submitted by the successful Supplier;</w:t>
      </w:r>
    </w:p>
    <w:p w:rsidR="000E07F6" w:rsidRDefault="00D60FD9">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 xml:space="preserve">state the Charges payable for the Deliverables, including itemising any expenses and any disbursements and their associated cost that the Supplier expects to charge to the </w:t>
      </w:r>
      <w:r>
        <w:rPr>
          <w:rFonts w:ascii="Arial" w:eastAsia="Arial" w:hAnsi="Arial" w:cs="Arial"/>
          <w:color w:val="000000"/>
          <w:sz w:val="24"/>
          <w:szCs w:val="24"/>
        </w:rPr>
        <w:lastRenderedPageBreak/>
        <w:t>Buyer under the Call-Off Contract, in accordance with the tender submitted by the successful Supplier; and</w:t>
      </w:r>
    </w:p>
    <w:p w:rsidR="000E07F6" w:rsidRDefault="00D60FD9">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incorporate the terms [of the Order Form and Contract] (as may be amended or refined by the Buyer in accordance with Paragraph 3.1.2. above) applicable to the Deliverables,</w:t>
      </w:r>
    </w:p>
    <w:p w:rsidR="000E07F6" w:rsidRDefault="00D60FD9">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provide unsuccessful Suppliers with written feedback in relation to the reasons why their tenders were unsuccessful.</w:t>
      </w:r>
    </w:p>
    <w:p w:rsidR="000E07F6" w:rsidRDefault="00D60FD9">
      <w:pPr>
        <w:keepNext/>
        <w:widowControl/>
        <w:numPr>
          <w:ilvl w:val="0"/>
          <w:numId w:val="3"/>
        </w:numPr>
        <w:tabs>
          <w:tab w:val="left" w:pos="142"/>
        </w:tabs>
        <w:spacing w:before="120" w:after="240"/>
        <w:jc w:val="both"/>
        <w:rPr>
          <w:rFonts w:ascii="Arial Bold" w:eastAsia="Arial Bold" w:hAnsi="Arial Bold" w:cs="Arial Bold"/>
          <w:color w:val="000000"/>
        </w:rPr>
      </w:pPr>
      <w:r>
        <w:rPr>
          <w:rFonts w:ascii="Arial Bold" w:eastAsia="Arial Bold" w:hAnsi="Arial Bold" w:cs="Arial Bold"/>
          <w:b/>
          <w:sz w:val="24"/>
          <w:szCs w:val="24"/>
        </w:rPr>
        <w:t>Further Competition Procedure with Dialogue</w:t>
      </w:r>
    </w:p>
    <w:p w:rsidR="000E07F6" w:rsidRDefault="00D60FD9">
      <w:pPr>
        <w:keepNext/>
        <w:widowControl/>
        <w:tabs>
          <w:tab w:val="left" w:pos="142"/>
        </w:tabs>
        <w:spacing w:before="120" w:after="240"/>
        <w:jc w:val="both"/>
        <w:rPr>
          <w:rFonts w:ascii="Arial Bold" w:eastAsia="Arial Bold" w:hAnsi="Arial Bold" w:cs="Arial Bold"/>
          <w:sz w:val="24"/>
          <w:szCs w:val="24"/>
        </w:rPr>
      </w:pPr>
      <w:r>
        <w:rPr>
          <w:rFonts w:ascii="Arial Bold" w:eastAsia="Arial Bold" w:hAnsi="Arial Bold" w:cs="Arial Bold"/>
          <w:sz w:val="24"/>
          <w:szCs w:val="24"/>
        </w:rPr>
        <w:t>If applicable, the Buyer may use the following procedure to allow for competitive dialogue:</w:t>
      </w:r>
    </w:p>
    <w:p w:rsidR="000E07F6" w:rsidRDefault="00D60FD9">
      <w:pPr>
        <w:keepNext/>
        <w:widowControl/>
        <w:tabs>
          <w:tab w:val="left" w:pos="3054"/>
        </w:tabs>
        <w:spacing w:before="120" w:after="120"/>
        <w:ind w:left="936" w:hanging="576"/>
        <w:rPr>
          <w:rFonts w:ascii="Arial Bold" w:eastAsia="Arial Bold" w:hAnsi="Arial Bold" w:cs="Arial Bold"/>
          <w:sz w:val="24"/>
          <w:szCs w:val="24"/>
        </w:rPr>
      </w:pPr>
      <w:r>
        <w:rPr>
          <w:rFonts w:ascii="Arial Bold" w:eastAsia="Arial Bold" w:hAnsi="Arial Bold" w:cs="Arial Bold"/>
          <w:sz w:val="24"/>
          <w:szCs w:val="24"/>
        </w:rPr>
        <w:t>Develop a Statement of Requirements</w:t>
      </w:r>
    </w:p>
    <w:p w:rsidR="000E07F6" w:rsidRDefault="00D60FD9">
      <w:pPr>
        <w:keepNext/>
        <w:widowControl/>
        <w:numPr>
          <w:ilvl w:val="1"/>
          <w:numId w:val="3"/>
        </w:numPr>
        <w:tabs>
          <w:tab w:val="left" w:pos="3054"/>
        </w:tabs>
        <w:spacing w:before="120" w:after="120"/>
        <w:rPr>
          <w:rFonts w:ascii="Arial" w:eastAsia="Arial" w:hAnsi="Arial" w:cs="Arial"/>
          <w:color w:val="000000"/>
        </w:rPr>
      </w:pPr>
      <w:r>
        <w:rPr>
          <w:rFonts w:ascii="Arial" w:eastAsia="Arial" w:hAnsi="Arial" w:cs="Arial"/>
          <w:sz w:val="24"/>
          <w:szCs w:val="24"/>
        </w:rPr>
        <w:t>The Buyer shall develop a Statement of Requirements which, as a minimum, must include:</w:t>
      </w:r>
    </w:p>
    <w:p w:rsidR="000E07F6" w:rsidRDefault="00D60FD9">
      <w:pPr>
        <w:widowControl/>
        <w:numPr>
          <w:ilvl w:val="2"/>
          <w:numId w:val="3"/>
        </w:numPr>
        <w:tabs>
          <w:tab w:val="left" w:pos="3641"/>
        </w:tabs>
        <w:spacing w:before="120" w:after="120"/>
        <w:rPr>
          <w:rFonts w:ascii="Arial" w:eastAsia="Arial" w:hAnsi="Arial" w:cs="Arial"/>
          <w:color w:val="000000"/>
        </w:rPr>
      </w:pPr>
      <w:r>
        <w:rPr>
          <w:rFonts w:ascii="Arial" w:eastAsia="Arial" w:hAnsi="Arial" w:cs="Arial"/>
          <w:sz w:val="24"/>
          <w:szCs w:val="24"/>
        </w:rPr>
        <w:t>the name of the required Lot;</w:t>
      </w:r>
    </w:p>
    <w:p w:rsidR="000E07F6" w:rsidRDefault="00D60FD9">
      <w:pPr>
        <w:widowControl/>
        <w:numPr>
          <w:ilvl w:val="2"/>
          <w:numId w:val="3"/>
        </w:numPr>
        <w:tabs>
          <w:tab w:val="left" w:pos="3641"/>
        </w:tabs>
        <w:spacing w:before="120" w:after="120"/>
        <w:rPr>
          <w:rFonts w:ascii="Arial" w:eastAsia="Arial" w:hAnsi="Arial" w:cs="Arial"/>
          <w:color w:val="000000"/>
        </w:rPr>
      </w:pPr>
      <w:r>
        <w:rPr>
          <w:rFonts w:ascii="Arial" w:eastAsia="Arial" w:hAnsi="Arial" w:cs="Arial"/>
          <w:sz w:val="24"/>
          <w:szCs w:val="24"/>
        </w:rPr>
        <w:t>an outline of the anticipated Deliverables, including any known targets;</w:t>
      </w:r>
    </w:p>
    <w:p w:rsidR="000E07F6" w:rsidRDefault="00D60FD9">
      <w:pPr>
        <w:widowControl/>
        <w:numPr>
          <w:ilvl w:val="2"/>
          <w:numId w:val="3"/>
        </w:numPr>
        <w:tabs>
          <w:tab w:val="left" w:pos="3641"/>
        </w:tabs>
        <w:spacing w:before="120" w:after="120"/>
        <w:rPr>
          <w:rFonts w:ascii="Arial" w:eastAsia="Arial" w:hAnsi="Arial" w:cs="Arial"/>
          <w:color w:val="000000"/>
        </w:rPr>
      </w:pPr>
      <w:r>
        <w:rPr>
          <w:rFonts w:ascii="Arial" w:eastAsia="Arial" w:hAnsi="Arial" w:cs="Arial"/>
          <w:sz w:val="24"/>
          <w:szCs w:val="24"/>
        </w:rPr>
        <w:t>a timetable for the Further Competition Procedure;</w:t>
      </w:r>
    </w:p>
    <w:p w:rsidR="000E07F6" w:rsidRDefault="00D60FD9">
      <w:pPr>
        <w:widowControl/>
        <w:numPr>
          <w:ilvl w:val="2"/>
          <w:numId w:val="3"/>
        </w:numPr>
        <w:tabs>
          <w:tab w:val="left" w:pos="3641"/>
        </w:tabs>
        <w:spacing w:before="120" w:after="120"/>
        <w:rPr>
          <w:rFonts w:ascii="Arial" w:eastAsia="Arial" w:hAnsi="Arial" w:cs="Arial"/>
          <w:color w:val="000000"/>
        </w:rPr>
      </w:pPr>
      <w:r>
        <w:rPr>
          <w:rFonts w:ascii="Arial" w:eastAsia="Arial" w:hAnsi="Arial" w:cs="Arial"/>
          <w:sz w:val="24"/>
          <w:szCs w:val="24"/>
        </w:rPr>
        <w:t>a request for interested Suppliers to provide an Expression of Interest to provide the Deliverables in substantially the same form as set out at Annex C to this Framework Schedule 7 (the “</w:t>
      </w:r>
      <w:r>
        <w:rPr>
          <w:rFonts w:ascii="Arial" w:eastAsia="Arial" w:hAnsi="Arial" w:cs="Arial"/>
          <w:b/>
          <w:sz w:val="24"/>
          <w:szCs w:val="24"/>
        </w:rPr>
        <w:t>EOI</w:t>
      </w:r>
      <w:r>
        <w:rPr>
          <w:rFonts w:ascii="Arial" w:eastAsia="Arial" w:hAnsi="Arial" w:cs="Arial"/>
          <w:sz w:val="24"/>
          <w:szCs w:val="24"/>
        </w:rPr>
        <w:t>”);</w:t>
      </w:r>
    </w:p>
    <w:p w:rsidR="000E07F6" w:rsidRDefault="00D60FD9">
      <w:pPr>
        <w:widowControl/>
        <w:numPr>
          <w:ilvl w:val="2"/>
          <w:numId w:val="3"/>
        </w:numPr>
        <w:tabs>
          <w:tab w:val="left" w:pos="3641"/>
        </w:tabs>
        <w:spacing w:before="120" w:after="120"/>
        <w:rPr>
          <w:rFonts w:ascii="Arial" w:eastAsia="Arial" w:hAnsi="Arial" w:cs="Arial"/>
          <w:color w:val="000000"/>
        </w:rPr>
      </w:pPr>
      <w:r>
        <w:rPr>
          <w:rFonts w:ascii="Arial" w:eastAsia="Arial" w:hAnsi="Arial" w:cs="Arial"/>
          <w:sz w:val="24"/>
          <w:szCs w:val="24"/>
        </w:rPr>
        <w:t>the EOI due date;</w:t>
      </w:r>
    </w:p>
    <w:p w:rsidR="000E07F6" w:rsidRDefault="00D60FD9">
      <w:pPr>
        <w:widowControl/>
        <w:numPr>
          <w:ilvl w:val="2"/>
          <w:numId w:val="3"/>
        </w:numPr>
        <w:tabs>
          <w:tab w:val="left" w:pos="3641"/>
        </w:tabs>
        <w:spacing w:before="120" w:after="120"/>
        <w:rPr>
          <w:rFonts w:ascii="Arial" w:eastAsia="Arial" w:hAnsi="Arial" w:cs="Arial"/>
          <w:color w:val="000000"/>
        </w:rPr>
      </w:pPr>
      <w:r>
        <w:rPr>
          <w:rFonts w:ascii="Arial" w:eastAsia="Arial" w:hAnsi="Arial" w:cs="Arial"/>
          <w:sz w:val="24"/>
          <w:szCs w:val="24"/>
        </w:rPr>
        <w:t>a statement that a full Written Proposal will be required from the Supplier, following a period of dialogue between the Buyer and Supplier; and</w:t>
      </w:r>
    </w:p>
    <w:p w:rsidR="000E07F6" w:rsidRDefault="00D60FD9">
      <w:pPr>
        <w:widowControl/>
        <w:numPr>
          <w:ilvl w:val="2"/>
          <w:numId w:val="3"/>
        </w:numPr>
        <w:tabs>
          <w:tab w:val="left" w:pos="3641"/>
        </w:tabs>
        <w:spacing w:before="120" w:after="120"/>
        <w:rPr>
          <w:rFonts w:ascii="Arial" w:eastAsia="Arial" w:hAnsi="Arial" w:cs="Arial"/>
          <w:color w:val="000000"/>
        </w:rPr>
      </w:pPr>
      <w:r>
        <w:rPr>
          <w:rFonts w:ascii="Arial" w:eastAsia="Arial" w:hAnsi="Arial" w:cs="Arial"/>
          <w:sz w:val="24"/>
          <w:szCs w:val="24"/>
        </w:rPr>
        <w:t>the evaluation method and criteria for assessing Supplier’s EOI and Written Proposal against the Statement of Requirements, based on the further competition award criteria set out in clauses 3.23 to 3.27 below (the “</w:t>
      </w:r>
      <w:r>
        <w:rPr>
          <w:rFonts w:ascii="Arial" w:eastAsia="Arial" w:hAnsi="Arial" w:cs="Arial"/>
          <w:b/>
          <w:sz w:val="24"/>
          <w:szCs w:val="24"/>
        </w:rPr>
        <w:t>Further Competition Award Criteria</w:t>
      </w:r>
      <w:r>
        <w:rPr>
          <w:rFonts w:ascii="Arial" w:eastAsia="Arial" w:hAnsi="Arial" w:cs="Arial"/>
          <w:sz w:val="24"/>
          <w:szCs w:val="24"/>
        </w:rPr>
        <w:t>”);</w:t>
      </w:r>
    </w:p>
    <w:p w:rsidR="000E07F6" w:rsidRDefault="00D60FD9">
      <w:pPr>
        <w:keepNext/>
        <w:widowControl/>
        <w:numPr>
          <w:ilvl w:val="1"/>
          <w:numId w:val="3"/>
        </w:numPr>
        <w:tabs>
          <w:tab w:val="left" w:pos="3054"/>
        </w:tabs>
        <w:spacing w:before="120" w:after="120"/>
        <w:rPr>
          <w:rFonts w:ascii="Arial" w:eastAsia="Arial" w:hAnsi="Arial" w:cs="Arial"/>
          <w:color w:val="000000"/>
        </w:rPr>
      </w:pPr>
      <w:r>
        <w:rPr>
          <w:rFonts w:ascii="Arial" w:eastAsia="Arial" w:hAnsi="Arial" w:cs="Arial"/>
          <w:sz w:val="24"/>
          <w:szCs w:val="24"/>
        </w:rPr>
        <w:t>The Buyer is advised but not mandated to include the below in the Statement of Requirements:</w:t>
      </w:r>
    </w:p>
    <w:p w:rsidR="000E07F6" w:rsidRDefault="00D60FD9">
      <w:pPr>
        <w:widowControl/>
        <w:numPr>
          <w:ilvl w:val="2"/>
          <w:numId w:val="3"/>
        </w:numPr>
        <w:tabs>
          <w:tab w:val="left" w:pos="3641"/>
        </w:tabs>
        <w:spacing w:before="120" w:after="120"/>
        <w:rPr>
          <w:rFonts w:ascii="Arial" w:eastAsia="Arial" w:hAnsi="Arial" w:cs="Arial"/>
          <w:color w:val="000000"/>
        </w:rPr>
      </w:pPr>
      <w:r>
        <w:rPr>
          <w:rFonts w:ascii="Arial" w:eastAsia="Arial" w:hAnsi="Arial" w:cs="Arial"/>
          <w:sz w:val="24"/>
          <w:szCs w:val="24"/>
        </w:rPr>
        <w:t>a budget range;</w:t>
      </w:r>
    </w:p>
    <w:p w:rsidR="000E07F6" w:rsidRDefault="00D60FD9">
      <w:pPr>
        <w:widowControl/>
        <w:numPr>
          <w:ilvl w:val="2"/>
          <w:numId w:val="3"/>
        </w:numPr>
        <w:tabs>
          <w:tab w:val="left" w:pos="3641"/>
        </w:tabs>
        <w:spacing w:before="120" w:after="120"/>
        <w:rPr>
          <w:rFonts w:ascii="Arial" w:eastAsia="Arial" w:hAnsi="Arial" w:cs="Arial"/>
          <w:color w:val="000000"/>
        </w:rPr>
      </w:pPr>
      <w:r>
        <w:rPr>
          <w:rFonts w:ascii="Arial" w:eastAsia="Arial" w:hAnsi="Arial" w:cs="Arial"/>
          <w:sz w:val="24"/>
          <w:szCs w:val="24"/>
        </w:rPr>
        <w:t>geographical location of work (if required);</w:t>
      </w:r>
    </w:p>
    <w:p w:rsidR="000E07F6" w:rsidRDefault="00D60FD9">
      <w:pPr>
        <w:widowControl/>
        <w:numPr>
          <w:ilvl w:val="2"/>
          <w:numId w:val="3"/>
        </w:numPr>
        <w:tabs>
          <w:tab w:val="left" w:pos="3641"/>
        </w:tabs>
        <w:spacing w:before="120" w:after="120"/>
        <w:rPr>
          <w:rFonts w:ascii="Arial" w:eastAsia="Arial" w:hAnsi="Arial" w:cs="Arial"/>
          <w:color w:val="000000"/>
        </w:rPr>
      </w:pPr>
      <w:r>
        <w:rPr>
          <w:rFonts w:ascii="Arial" w:eastAsia="Arial" w:hAnsi="Arial" w:cs="Arial"/>
          <w:sz w:val="24"/>
          <w:szCs w:val="24"/>
        </w:rPr>
        <w:t>any security clearances needed;</w:t>
      </w:r>
    </w:p>
    <w:p w:rsidR="000E07F6" w:rsidRDefault="00D60FD9">
      <w:pPr>
        <w:widowControl/>
        <w:numPr>
          <w:ilvl w:val="2"/>
          <w:numId w:val="3"/>
        </w:numPr>
        <w:tabs>
          <w:tab w:val="left" w:pos="3641"/>
        </w:tabs>
        <w:spacing w:before="120" w:after="120"/>
        <w:rPr>
          <w:rFonts w:ascii="Arial" w:eastAsia="Arial" w:hAnsi="Arial" w:cs="Arial"/>
          <w:color w:val="000000"/>
        </w:rPr>
      </w:pPr>
      <w:r>
        <w:rPr>
          <w:rFonts w:ascii="Arial" w:eastAsia="Arial" w:hAnsi="Arial" w:cs="Arial"/>
          <w:sz w:val="24"/>
          <w:szCs w:val="24"/>
        </w:rPr>
        <w:t>a clarification period for Suppliers to ask questions about the Statement of Requirements before submitting their EOI. The time frame for this clarification period shall be outlined in the Statement of Requirements; and</w:t>
      </w:r>
    </w:p>
    <w:p w:rsidR="000E07F6" w:rsidRDefault="00D60FD9">
      <w:pPr>
        <w:widowControl/>
        <w:numPr>
          <w:ilvl w:val="2"/>
          <w:numId w:val="3"/>
        </w:numPr>
        <w:tabs>
          <w:tab w:val="left" w:pos="3641"/>
        </w:tabs>
        <w:spacing w:before="120" w:after="120"/>
        <w:rPr>
          <w:rFonts w:ascii="Arial" w:eastAsia="Arial" w:hAnsi="Arial" w:cs="Arial"/>
          <w:color w:val="000000"/>
        </w:rPr>
      </w:pPr>
      <w:r>
        <w:rPr>
          <w:rFonts w:ascii="Arial" w:eastAsia="Arial" w:hAnsi="Arial" w:cs="Arial"/>
          <w:sz w:val="24"/>
          <w:szCs w:val="24"/>
        </w:rPr>
        <w:t>any other information that the Buyer considers necessary to enable Suppliers to submit an EOI.</w:t>
      </w:r>
    </w:p>
    <w:p w:rsidR="000E07F6" w:rsidRDefault="00D60FD9">
      <w:pPr>
        <w:keepNext/>
        <w:widowControl/>
        <w:tabs>
          <w:tab w:val="left" w:pos="3054"/>
        </w:tabs>
        <w:spacing w:before="120" w:after="120"/>
        <w:ind w:left="936" w:hanging="576"/>
        <w:rPr>
          <w:rFonts w:ascii="Arial Bold" w:eastAsia="Arial Bold" w:hAnsi="Arial Bold" w:cs="Arial Bold"/>
          <w:smallCaps/>
          <w:sz w:val="24"/>
          <w:szCs w:val="24"/>
        </w:rPr>
      </w:pPr>
      <w:r>
        <w:rPr>
          <w:rFonts w:ascii="Arial Bold" w:eastAsia="Arial Bold" w:hAnsi="Arial Bold" w:cs="Arial Bold"/>
          <w:sz w:val="24"/>
          <w:szCs w:val="24"/>
        </w:rPr>
        <w:lastRenderedPageBreak/>
        <w:t xml:space="preserve">Pre-Market Engagement </w:t>
      </w:r>
    </w:p>
    <w:p w:rsidR="000E07F6" w:rsidRDefault="00D60FD9">
      <w:pPr>
        <w:keepNext/>
        <w:widowControl/>
        <w:numPr>
          <w:ilvl w:val="1"/>
          <w:numId w:val="3"/>
        </w:numPr>
        <w:tabs>
          <w:tab w:val="left" w:pos="3054"/>
        </w:tabs>
        <w:spacing w:before="120" w:after="120"/>
        <w:rPr>
          <w:rFonts w:ascii="Arial" w:eastAsia="Arial" w:hAnsi="Arial" w:cs="Arial"/>
          <w:color w:val="000000"/>
        </w:rPr>
      </w:pPr>
      <w:r>
        <w:rPr>
          <w:rFonts w:ascii="Arial" w:eastAsia="Arial" w:hAnsi="Arial" w:cs="Arial"/>
          <w:sz w:val="24"/>
          <w:szCs w:val="24"/>
        </w:rPr>
        <w:t>A Buyer may choose to undertake pre-market engagement, prior to the issue of the Statement of Requirements, in which case the Buyer:</w:t>
      </w:r>
    </w:p>
    <w:p w:rsidR="000E07F6" w:rsidRDefault="00D60FD9">
      <w:pPr>
        <w:widowControl/>
        <w:numPr>
          <w:ilvl w:val="2"/>
          <w:numId w:val="3"/>
        </w:numPr>
        <w:tabs>
          <w:tab w:val="left" w:pos="3641"/>
        </w:tabs>
        <w:spacing w:before="120" w:after="120"/>
        <w:rPr>
          <w:rFonts w:ascii="Arial" w:eastAsia="Arial" w:hAnsi="Arial" w:cs="Arial"/>
          <w:color w:val="000000"/>
        </w:rPr>
      </w:pPr>
      <w:r>
        <w:rPr>
          <w:rFonts w:ascii="Arial" w:eastAsia="Arial" w:hAnsi="Arial" w:cs="Arial"/>
          <w:sz w:val="24"/>
          <w:szCs w:val="24"/>
        </w:rPr>
        <w:t>shall send a draft Statement of Requirements to all Suppliers on the required Lot asking for a response for the purposes of assisting with market engagement, as detailed within the Statement of Requirements;</w:t>
      </w:r>
    </w:p>
    <w:p w:rsidR="000E07F6" w:rsidRDefault="00D60FD9">
      <w:pPr>
        <w:widowControl/>
        <w:numPr>
          <w:ilvl w:val="2"/>
          <w:numId w:val="3"/>
        </w:numPr>
        <w:tabs>
          <w:tab w:val="left" w:pos="3641"/>
        </w:tabs>
        <w:spacing w:before="120" w:after="120"/>
        <w:rPr>
          <w:rFonts w:ascii="Arial" w:eastAsia="Arial" w:hAnsi="Arial" w:cs="Arial"/>
          <w:color w:val="000000"/>
        </w:rPr>
      </w:pPr>
      <w:r>
        <w:rPr>
          <w:rFonts w:ascii="Arial" w:eastAsia="Arial" w:hAnsi="Arial" w:cs="Arial"/>
          <w:sz w:val="24"/>
          <w:szCs w:val="24"/>
        </w:rPr>
        <w:t>may hold a market engagement event where they shall invite all Suppliers on the required Lot to develop the Statement of Requirements; and</w:t>
      </w:r>
    </w:p>
    <w:p w:rsidR="000E07F6" w:rsidRDefault="00D60FD9">
      <w:pPr>
        <w:widowControl/>
        <w:numPr>
          <w:ilvl w:val="2"/>
          <w:numId w:val="3"/>
        </w:numPr>
        <w:tabs>
          <w:tab w:val="left" w:pos="3641"/>
        </w:tabs>
        <w:spacing w:before="120" w:after="120"/>
        <w:rPr>
          <w:rFonts w:ascii="Arial" w:eastAsia="Arial" w:hAnsi="Arial" w:cs="Arial"/>
          <w:color w:val="000000"/>
        </w:rPr>
      </w:pPr>
      <w:r>
        <w:rPr>
          <w:rFonts w:ascii="Arial" w:eastAsia="Arial" w:hAnsi="Arial" w:cs="Arial"/>
          <w:sz w:val="24"/>
          <w:szCs w:val="24"/>
        </w:rPr>
        <w:t xml:space="preserve">may choose to update and re-issue the Statement of Requirements to all Suppliers on the required Lot. </w:t>
      </w:r>
    </w:p>
    <w:p w:rsidR="000E07F6" w:rsidRDefault="00D60FD9">
      <w:pPr>
        <w:keepNext/>
        <w:widowControl/>
        <w:numPr>
          <w:ilvl w:val="1"/>
          <w:numId w:val="3"/>
        </w:numPr>
        <w:tabs>
          <w:tab w:val="left" w:pos="3054"/>
        </w:tabs>
        <w:spacing w:before="120" w:after="120"/>
        <w:rPr>
          <w:rFonts w:ascii="Arial" w:eastAsia="Arial" w:hAnsi="Arial" w:cs="Arial"/>
          <w:color w:val="000000"/>
        </w:rPr>
      </w:pPr>
      <w:r>
        <w:rPr>
          <w:rFonts w:ascii="Arial" w:eastAsia="Arial" w:hAnsi="Arial" w:cs="Arial"/>
          <w:sz w:val="24"/>
          <w:szCs w:val="24"/>
        </w:rPr>
        <w:t>Where a Buyer chooses to undertake pre-market engagement, the Supplier’s response may include detail about any industry developments which could affect the Buyer’s business need.</w:t>
      </w:r>
    </w:p>
    <w:p w:rsidR="000E07F6" w:rsidRDefault="00D60FD9">
      <w:pPr>
        <w:keepNext/>
        <w:widowControl/>
        <w:tabs>
          <w:tab w:val="left" w:pos="3054"/>
        </w:tabs>
        <w:spacing w:before="120" w:after="120"/>
        <w:ind w:left="936" w:hanging="576"/>
        <w:rPr>
          <w:rFonts w:ascii="Arial Bold" w:eastAsia="Arial Bold" w:hAnsi="Arial Bold" w:cs="Arial Bold"/>
          <w:sz w:val="24"/>
          <w:szCs w:val="24"/>
        </w:rPr>
      </w:pPr>
      <w:r>
        <w:rPr>
          <w:rFonts w:ascii="Arial Bold" w:eastAsia="Arial Bold" w:hAnsi="Arial Bold" w:cs="Arial Bold"/>
          <w:sz w:val="24"/>
          <w:szCs w:val="24"/>
        </w:rPr>
        <w:t xml:space="preserve">Expressions of Interest </w:t>
      </w:r>
    </w:p>
    <w:p w:rsidR="000E07F6" w:rsidRDefault="00D60FD9">
      <w:pPr>
        <w:keepNext/>
        <w:widowControl/>
        <w:numPr>
          <w:ilvl w:val="1"/>
          <w:numId w:val="3"/>
        </w:numPr>
        <w:tabs>
          <w:tab w:val="left" w:pos="3054"/>
        </w:tabs>
        <w:spacing w:before="120" w:after="120"/>
        <w:rPr>
          <w:rFonts w:ascii="Arial" w:eastAsia="Arial" w:hAnsi="Arial" w:cs="Arial"/>
          <w:color w:val="000000"/>
        </w:rPr>
      </w:pPr>
      <w:r>
        <w:rPr>
          <w:rFonts w:ascii="Arial" w:eastAsia="Arial" w:hAnsi="Arial" w:cs="Arial"/>
          <w:sz w:val="24"/>
          <w:szCs w:val="24"/>
        </w:rPr>
        <w:t>The Buyer shall only issue the Statement of Requirements to the Suppliers appointed to the Lot that has been identified as being suitable to provide the Deliverables and the Buyer shall not issue the Statement of Requirements to more than one Lot.</w:t>
      </w:r>
    </w:p>
    <w:p w:rsidR="000E07F6" w:rsidRDefault="00D60FD9">
      <w:pPr>
        <w:keepNext/>
        <w:widowControl/>
        <w:numPr>
          <w:ilvl w:val="1"/>
          <w:numId w:val="3"/>
        </w:numPr>
        <w:tabs>
          <w:tab w:val="left" w:pos="3054"/>
        </w:tabs>
        <w:spacing w:before="120" w:after="120"/>
        <w:rPr>
          <w:rFonts w:ascii="Arial" w:eastAsia="Arial" w:hAnsi="Arial" w:cs="Arial"/>
          <w:color w:val="000000"/>
        </w:rPr>
      </w:pPr>
      <w:r>
        <w:rPr>
          <w:rFonts w:ascii="Arial" w:eastAsia="Arial" w:hAnsi="Arial" w:cs="Arial"/>
          <w:sz w:val="24"/>
          <w:szCs w:val="24"/>
        </w:rPr>
        <w:t>Those Suppliers wishing to participate in the Further Competition Procedure shall respond to the Statement of Requirements with an EOI.</w:t>
      </w:r>
    </w:p>
    <w:p w:rsidR="000E07F6" w:rsidRDefault="00D60FD9">
      <w:pPr>
        <w:keepNext/>
        <w:widowControl/>
        <w:numPr>
          <w:ilvl w:val="1"/>
          <w:numId w:val="3"/>
        </w:numPr>
        <w:tabs>
          <w:tab w:val="left" w:pos="3054"/>
        </w:tabs>
        <w:spacing w:before="120" w:after="120"/>
        <w:rPr>
          <w:rFonts w:ascii="Arial" w:eastAsia="Arial" w:hAnsi="Arial" w:cs="Arial"/>
          <w:color w:val="000000"/>
        </w:rPr>
      </w:pPr>
      <w:r>
        <w:rPr>
          <w:rFonts w:ascii="Arial" w:eastAsia="Arial" w:hAnsi="Arial" w:cs="Arial"/>
          <w:sz w:val="24"/>
          <w:szCs w:val="24"/>
        </w:rPr>
        <w:t xml:space="preserve">If the Supplier does not provide an EOI in accordance with any stated timescales they may not be invited to participate in the remainder of the Further Competition Procedure. </w:t>
      </w:r>
    </w:p>
    <w:p w:rsidR="000E07F6" w:rsidRDefault="00D60FD9">
      <w:pPr>
        <w:keepNext/>
        <w:widowControl/>
        <w:numPr>
          <w:ilvl w:val="1"/>
          <w:numId w:val="3"/>
        </w:numPr>
        <w:tabs>
          <w:tab w:val="left" w:pos="3054"/>
        </w:tabs>
        <w:spacing w:before="120" w:after="120"/>
        <w:rPr>
          <w:rFonts w:ascii="Arial" w:eastAsia="Arial" w:hAnsi="Arial" w:cs="Arial"/>
          <w:color w:val="000000"/>
        </w:rPr>
      </w:pPr>
      <w:r>
        <w:rPr>
          <w:rFonts w:ascii="Arial" w:eastAsia="Arial" w:hAnsi="Arial" w:cs="Arial"/>
          <w:sz w:val="24"/>
          <w:szCs w:val="24"/>
        </w:rPr>
        <w:t xml:space="preserve">CCS reserves the right to add to or change the EOI template throughout the lifetime of the Framework Agreement. </w:t>
      </w:r>
    </w:p>
    <w:p w:rsidR="000E07F6" w:rsidRDefault="00D60FD9">
      <w:pPr>
        <w:keepNext/>
        <w:widowControl/>
        <w:tabs>
          <w:tab w:val="left" w:pos="3054"/>
        </w:tabs>
        <w:spacing w:before="120" w:after="120"/>
        <w:ind w:left="936" w:hanging="576"/>
        <w:rPr>
          <w:rFonts w:ascii="Arial Bold" w:eastAsia="Arial Bold" w:hAnsi="Arial Bold" w:cs="Arial Bold"/>
          <w:sz w:val="24"/>
          <w:szCs w:val="24"/>
        </w:rPr>
      </w:pPr>
      <w:r>
        <w:rPr>
          <w:rFonts w:ascii="Arial Bold" w:eastAsia="Arial Bold" w:hAnsi="Arial Bold" w:cs="Arial Bold"/>
          <w:sz w:val="24"/>
          <w:szCs w:val="24"/>
        </w:rPr>
        <w:t>Shortlisting</w:t>
      </w:r>
    </w:p>
    <w:p w:rsidR="000E07F6" w:rsidRDefault="00D60FD9">
      <w:pPr>
        <w:keepNext/>
        <w:widowControl/>
        <w:numPr>
          <w:ilvl w:val="1"/>
          <w:numId w:val="3"/>
        </w:numPr>
        <w:tabs>
          <w:tab w:val="left" w:pos="3054"/>
        </w:tabs>
        <w:spacing w:before="120" w:after="120"/>
        <w:rPr>
          <w:rFonts w:ascii="Arial" w:eastAsia="Arial" w:hAnsi="Arial" w:cs="Arial"/>
          <w:color w:val="000000"/>
        </w:rPr>
      </w:pPr>
      <w:bookmarkStart w:id="8" w:name="_heading=h.3znysh7" w:colFirst="0" w:colLast="0"/>
      <w:bookmarkEnd w:id="8"/>
      <w:r>
        <w:rPr>
          <w:rFonts w:ascii="Arial" w:eastAsia="Arial" w:hAnsi="Arial" w:cs="Arial"/>
          <w:sz w:val="24"/>
          <w:szCs w:val="24"/>
        </w:rPr>
        <w:t>The Buyer shall evaluate each Supplier’s EOI in accordance with the EOI evaluation method and scoring system outlined in the Statement of Requirements and include in the shortlist</w:t>
      </w:r>
      <w:r>
        <w:rPr>
          <w:rFonts w:ascii="Arial" w:eastAsia="Arial" w:hAnsi="Arial" w:cs="Arial"/>
          <w:i/>
          <w:sz w:val="24"/>
          <w:szCs w:val="24"/>
        </w:rPr>
        <w:t xml:space="preserve"> [those Suppliers scoring [ ]%] OR [the [ ] highest scoring Suppliers]</w:t>
      </w:r>
      <w:r>
        <w:rPr>
          <w:rFonts w:ascii="Arial" w:eastAsia="Arial" w:hAnsi="Arial" w:cs="Arial"/>
          <w:sz w:val="24"/>
          <w:szCs w:val="24"/>
        </w:rPr>
        <w:t xml:space="preserve"> (the “</w:t>
      </w:r>
      <w:r>
        <w:rPr>
          <w:rFonts w:ascii="Arial" w:eastAsia="Arial" w:hAnsi="Arial" w:cs="Arial"/>
          <w:b/>
          <w:sz w:val="24"/>
          <w:szCs w:val="24"/>
        </w:rPr>
        <w:t>Shortlisted Suppliers</w:t>
      </w:r>
      <w:r>
        <w:rPr>
          <w:rFonts w:ascii="Arial" w:eastAsia="Arial" w:hAnsi="Arial" w:cs="Arial"/>
          <w:sz w:val="24"/>
          <w:szCs w:val="24"/>
        </w:rPr>
        <w:t xml:space="preserve">”). Only those Shortlisted Suppliers shall be invited to participate in the next stage of the process. </w:t>
      </w:r>
    </w:p>
    <w:p w:rsidR="000E07F6" w:rsidRDefault="00D60FD9">
      <w:pPr>
        <w:keepNext/>
        <w:widowControl/>
        <w:tabs>
          <w:tab w:val="left" w:pos="3054"/>
        </w:tabs>
        <w:spacing w:before="120" w:after="120"/>
        <w:ind w:left="936" w:hanging="576"/>
        <w:rPr>
          <w:rFonts w:ascii="Arial Bold" w:eastAsia="Arial Bold" w:hAnsi="Arial Bold" w:cs="Arial Bold"/>
          <w:smallCaps/>
          <w:sz w:val="24"/>
          <w:szCs w:val="24"/>
        </w:rPr>
      </w:pPr>
      <w:r>
        <w:rPr>
          <w:rFonts w:ascii="Arial Bold" w:eastAsia="Arial Bold" w:hAnsi="Arial Bold" w:cs="Arial Bold"/>
          <w:sz w:val="24"/>
          <w:szCs w:val="24"/>
        </w:rPr>
        <w:t>Dialogue</w:t>
      </w:r>
    </w:p>
    <w:p w:rsidR="000E07F6" w:rsidRDefault="00D60FD9">
      <w:pPr>
        <w:keepNext/>
        <w:widowControl/>
        <w:numPr>
          <w:ilvl w:val="1"/>
          <w:numId w:val="3"/>
        </w:numPr>
        <w:tabs>
          <w:tab w:val="left" w:pos="3054"/>
        </w:tabs>
        <w:spacing w:before="120" w:after="120"/>
        <w:rPr>
          <w:rFonts w:ascii="Arial Bold" w:eastAsia="Arial Bold" w:hAnsi="Arial Bold" w:cs="Arial Bold"/>
          <w:smallCaps/>
          <w:color w:val="000000"/>
        </w:rPr>
      </w:pPr>
      <w:r>
        <w:rPr>
          <w:rFonts w:ascii="Arial" w:eastAsia="Arial" w:hAnsi="Arial" w:cs="Arial"/>
          <w:sz w:val="24"/>
          <w:szCs w:val="24"/>
        </w:rPr>
        <w:t>The Buyer:</w:t>
      </w:r>
    </w:p>
    <w:p w:rsidR="000E07F6" w:rsidRDefault="00D60FD9">
      <w:pPr>
        <w:widowControl/>
        <w:numPr>
          <w:ilvl w:val="2"/>
          <w:numId w:val="3"/>
        </w:numPr>
        <w:tabs>
          <w:tab w:val="left" w:pos="3641"/>
        </w:tabs>
        <w:spacing w:before="120" w:after="120"/>
        <w:rPr>
          <w:rFonts w:ascii="Arial Bold" w:eastAsia="Arial Bold" w:hAnsi="Arial Bold" w:cs="Arial Bold"/>
          <w:smallCaps/>
          <w:color w:val="000000"/>
        </w:rPr>
      </w:pPr>
      <w:r>
        <w:rPr>
          <w:rFonts w:ascii="Arial" w:eastAsia="Arial" w:hAnsi="Arial" w:cs="Arial"/>
          <w:sz w:val="24"/>
          <w:szCs w:val="24"/>
        </w:rPr>
        <w:t>shall open a dialogue with the Shortlisted Suppliers to identify the best means of providing the Deliverables (the “</w:t>
      </w:r>
      <w:r>
        <w:rPr>
          <w:rFonts w:ascii="Arial" w:eastAsia="Arial" w:hAnsi="Arial" w:cs="Arial"/>
          <w:b/>
          <w:sz w:val="24"/>
          <w:szCs w:val="24"/>
        </w:rPr>
        <w:t>Dialogue</w:t>
      </w:r>
      <w:r>
        <w:rPr>
          <w:rFonts w:ascii="Arial" w:eastAsia="Arial" w:hAnsi="Arial" w:cs="Arial"/>
          <w:sz w:val="24"/>
          <w:szCs w:val="24"/>
        </w:rPr>
        <w:t>”); and</w:t>
      </w:r>
    </w:p>
    <w:p w:rsidR="000E07F6" w:rsidRDefault="00D60FD9">
      <w:pPr>
        <w:widowControl/>
        <w:numPr>
          <w:ilvl w:val="2"/>
          <w:numId w:val="3"/>
        </w:numPr>
        <w:tabs>
          <w:tab w:val="left" w:pos="3641"/>
        </w:tabs>
        <w:spacing w:before="120" w:after="120"/>
        <w:rPr>
          <w:rFonts w:ascii="Arial Bold" w:eastAsia="Arial Bold" w:hAnsi="Arial Bold" w:cs="Arial Bold"/>
          <w:smallCaps/>
          <w:color w:val="000000"/>
        </w:rPr>
      </w:pPr>
      <w:r>
        <w:rPr>
          <w:rFonts w:ascii="Arial" w:eastAsia="Arial" w:hAnsi="Arial" w:cs="Arial"/>
          <w:sz w:val="24"/>
          <w:szCs w:val="24"/>
        </w:rPr>
        <w:t xml:space="preserve">may discuss all aspects of the proposed Call-Off Contract during the Dialogue. </w:t>
      </w:r>
    </w:p>
    <w:p w:rsidR="000E07F6" w:rsidRDefault="00D60FD9">
      <w:pPr>
        <w:keepNext/>
        <w:widowControl/>
        <w:numPr>
          <w:ilvl w:val="1"/>
          <w:numId w:val="3"/>
        </w:numPr>
        <w:tabs>
          <w:tab w:val="left" w:pos="3054"/>
        </w:tabs>
        <w:spacing w:before="120" w:after="120"/>
        <w:rPr>
          <w:rFonts w:ascii="Arial Bold" w:eastAsia="Arial Bold" w:hAnsi="Arial Bold" w:cs="Arial Bold"/>
          <w:smallCaps/>
          <w:color w:val="000000"/>
        </w:rPr>
      </w:pPr>
      <w:r>
        <w:rPr>
          <w:rFonts w:ascii="Arial" w:eastAsia="Arial" w:hAnsi="Arial" w:cs="Arial"/>
          <w:sz w:val="24"/>
          <w:szCs w:val="24"/>
        </w:rPr>
        <w:lastRenderedPageBreak/>
        <w:t xml:space="preserve">The Buyer shall ensure equality of treatment between Suppliers during the Dialogue. </w:t>
      </w:r>
    </w:p>
    <w:p w:rsidR="000E07F6" w:rsidRDefault="00D60FD9">
      <w:pPr>
        <w:keepNext/>
        <w:widowControl/>
        <w:numPr>
          <w:ilvl w:val="1"/>
          <w:numId w:val="3"/>
        </w:numPr>
        <w:tabs>
          <w:tab w:val="left" w:pos="3054"/>
        </w:tabs>
        <w:spacing w:before="120" w:after="120"/>
        <w:rPr>
          <w:rFonts w:ascii="Arial Bold" w:eastAsia="Arial Bold" w:hAnsi="Arial Bold" w:cs="Arial Bold"/>
          <w:smallCaps/>
          <w:color w:val="000000"/>
        </w:rPr>
      </w:pPr>
      <w:r>
        <w:rPr>
          <w:rFonts w:ascii="Arial" w:eastAsia="Arial" w:hAnsi="Arial" w:cs="Arial"/>
          <w:sz w:val="24"/>
          <w:szCs w:val="24"/>
        </w:rPr>
        <w:t xml:space="preserve">The Buyer shall not reveal solutions proposed or other confidential information communicated by one Supplier to any other. </w:t>
      </w:r>
    </w:p>
    <w:p w:rsidR="000E07F6" w:rsidRDefault="00D60FD9">
      <w:pPr>
        <w:keepNext/>
        <w:widowControl/>
        <w:numPr>
          <w:ilvl w:val="1"/>
          <w:numId w:val="3"/>
        </w:numPr>
        <w:tabs>
          <w:tab w:val="left" w:pos="3054"/>
        </w:tabs>
        <w:spacing w:before="120" w:after="120"/>
        <w:rPr>
          <w:rFonts w:ascii="Arial Bold" w:eastAsia="Arial Bold" w:hAnsi="Arial Bold" w:cs="Arial Bold"/>
          <w:smallCaps/>
          <w:color w:val="000000"/>
        </w:rPr>
      </w:pPr>
      <w:r>
        <w:rPr>
          <w:rFonts w:ascii="Arial" w:eastAsia="Arial" w:hAnsi="Arial" w:cs="Arial"/>
          <w:sz w:val="24"/>
          <w:szCs w:val="24"/>
        </w:rPr>
        <w:t>Dialogue with each of the Suppliers shall be concluded once the Buyer can identify the solutions capable of meeting its needs.</w:t>
      </w:r>
    </w:p>
    <w:p w:rsidR="000E07F6" w:rsidRDefault="00D60FD9">
      <w:pPr>
        <w:keepNext/>
        <w:widowControl/>
        <w:tabs>
          <w:tab w:val="left" w:pos="3054"/>
        </w:tabs>
        <w:spacing w:before="120" w:after="120"/>
        <w:ind w:left="936" w:hanging="576"/>
        <w:rPr>
          <w:rFonts w:ascii="Arial Bold" w:eastAsia="Arial Bold" w:hAnsi="Arial Bold" w:cs="Arial Bold"/>
          <w:sz w:val="24"/>
          <w:szCs w:val="24"/>
        </w:rPr>
      </w:pPr>
      <w:r>
        <w:rPr>
          <w:rFonts w:ascii="Arial Bold" w:eastAsia="Arial Bold" w:hAnsi="Arial Bold" w:cs="Arial Bold"/>
          <w:sz w:val="24"/>
          <w:szCs w:val="24"/>
        </w:rPr>
        <w:t>Written Proposal</w:t>
      </w:r>
    </w:p>
    <w:p w:rsidR="000E07F6" w:rsidRDefault="00D60FD9">
      <w:pPr>
        <w:keepNext/>
        <w:widowControl/>
        <w:numPr>
          <w:ilvl w:val="1"/>
          <w:numId w:val="3"/>
        </w:numPr>
        <w:tabs>
          <w:tab w:val="left" w:pos="3054"/>
        </w:tabs>
        <w:spacing w:before="120" w:after="120"/>
        <w:rPr>
          <w:rFonts w:ascii="Arial" w:eastAsia="Arial" w:hAnsi="Arial" w:cs="Arial"/>
          <w:color w:val="000000"/>
        </w:rPr>
      </w:pPr>
      <w:r>
        <w:rPr>
          <w:rFonts w:ascii="Arial" w:eastAsia="Arial" w:hAnsi="Arial" w:cs="Arial"/>
          <w:sz w:val="24"/>
          <w:szCs w:val="24"/>
        </w:rPr>
        <w:t>Following the Dialogue stage, each Supplier must submit to the Buyer a written proposal in accordance with paragraphs 3.16 below (the “</w:t>
      </w:r>
      <w:r>
        <w:rPr>
          <w:rFonts w:ascii="Arial" w:eastAsia="Arial" w:hAnsi="Arial" w:cs="Arial"/>
          <w:b/>
          <w:sz w:val="24"/>
          <w:szCs w:val="24"/>
        </w:rPr>
        <w:t>Written Proposal</w:t>
      </w:r>
      <w:r>
        <w:rPr>
          <w:rFonts w:ascii="Arial" w:eastAsia="Arial" w:hAnsi="Arial" w:cs="Arial"/>
          <w:sz w:val="24"/>
          <w:szCs w:val="24"/>
        </w:rPr>
        <w:t xml:space="preserve">”). </w:t>
      </w:r>
    </w:p>
    <w:p w:rsidR="000E07F6" w:rsidRDefault="00D60FD9">
      <w:pPr>
        <w:keepNext/>
        <w:widowControl/>
        <w:numPr>
          <w:ilvl w:val="1"/>
          <w:numId w:val="3"/>
        </w:numPr>
        <w:tabs>
          <w:tab w:val="left" w:pos="3054"/>
        </w:tabs>
        <w:spacing w:before="120" w:after="120"/>
        <w:rPr>
          <w:rFonts w:ascii="Arial" w:eastAsia="Arial" w:hAnsi="Arial" w:cs="Arial"/>
          <w:color w:val="000000"/>
        </w:rPr>
      </w:pPr>
      <w:r>
        <w:rPr>
          <w:rFonts w:ascii="Arial" w:eastAsia="Arial" w:hAnsi="Arial" w:cs="Arial"/>
          <w:sz w:val="24"/>
          <w:szCs w:val="24"/>
        </w:rPr>
        <w:t>In the Written Proposal, the Supplier shall:</w:t>
      </w:r>
    </w:p>
    <w:p w:rsidR="000E07F6" w:rsidRDefault="00D60FD9">
      <w:pPr>
        <w:widowControl/>
        <w:numPr>
          <w:ilvl w:val="2"/>
          <w:numId w:val="3"/>
        </w:numPr>
        <w:tabs>
          <w:tab w:val="left" w:pos="3641"/>
        </w:tabs>
        <w:spacing w:before="120" w:after="120"/>
        <w:rPr>
          <w:rFonts w:ascii="Arial" w:eastAsia="Arial" w:hAnsi="Arial" w:cs="Arial"/>
          <w:color w:val="000000"/>
        </w:rPr>
      </w:pPr>
      <w:r>
        <w:rPr>
          <w:rFonts w:ascii="Arial" w:eastAsia="Arial" w:hAnsi="Arial" w:cs="Arial"/>
          <w:sz w:val="24"/>
          <w:szCs w:val="24"/>
        </w:rPr>
        <w:t xml:space="preserve">set out their proposal for the provision of the Deliverables as developed during Dialogue; and </w:t>
      </w:r>
    </w:p>
    <w:p w:rsidR="000E07F6" w:rsidRDefault="00D60FD9">
      <w:pPr>
        <w:widowControl/>
        <w:numPr>
          <w:ilvl w:val="2"/>
          <w:numId w:val="3"/>
        </w:numPr>
        <w:tabs>
          <w:tab w:val="left" w:pos="3641"/>
        </w:tabs>
        <w:spacing w:before="120" w:after="120"/>
        <w:rPr>
          <w:rFonts w:ascii="Arial" w:eastAsia="Arial" w:hAnsi="Arial" w:cs="Arial"/>
          <w:color w:val="000000"/>
        </w:rPr>
      </w:pPr>
      <w:r>
        <w:rPr>
          <w:rFonts w:ascii="Arial" w:eastAsia="Arial" w:hAnsi="Arial" w:cs="Arial"/>
          <w:sz w:val="24"/>
          <w:szCs w:val="24"/>
        </w:rPr>
        <w:t>shall be required to demonstrate how they will provide the Deliverables including whether they will be delivered solely by the Supplier or whether they intend to engage Sub-Contractors. Where a Supplier declares that it intends to Sub-Contract, the Supplier shall be required to clearly state in its response:</w:t>
      </w:r>
    </w:p>
    <w:p w:rsidR="000E07F6" w:rsidRDefault="00D60FD9">
      <w:pPr>
        <w:widowControl/>
        <w:numPr>
          <w:ilvl w:val="3"/>
          <w:numId w:val="3"/>
        </w:numPr>
        <w:tabs>
          <w:tab w:val="left" w:pos="3641"/>
        </w:tabs>
        <w:spacing w:before="120" w:after="120"/>
        <w:rPr>
          <w:rFonts w:ascii="Arial" w:eastAsia="Arial" w:hAnsi="Arial" w:cs="Arial"/>
          <w:color w:val="000000"/>
        </w:rPr>
      </w:pPr>
      <w:r>
        <w:rPr>
          <w:rFonts w:ascii="Arial" w:eastAsia="Arial" w:hAnsi="Arial" w:cs="Arial"/>
          <w:sz w:val="24"/>
          <w:szCs w:val="24"/>
        </w:rPr>
        <w:t>the name of the Sub-Contractor(s);</w:t>
      </w:r>
    </w:p>
    <w:p w:rsidR="000E07F6" w:rsidRDefault="00D60FD9">
      <w:pPr>
        <w:widowControl/>
        <w:numPr>
          <w:ilvl w:val="3"/>
          <w:numId w:val="3"/>
        </w:numPr>
        <w:tabs>
          <w:tab w:val="left" w:pos="3641"/>
        </w:tabs>
        <w:spacing w:before="120" w:after="120"/>
        <w:rPr>
          <w:rFonts w:ascii="Arial" w:eastAsia="Arial" w:hAnsi="Arial" w:cs="Arial"/>
          <w:color w:val="000000"/>
        </w:rPr>
      </w:pPr>
      <w:r>
        <w:rPr>
          <w:rFonts w:ascii="Arial" w:eastAsia="Arial" w:hAnsi="Arial" w:cs="Arial"/>
          <w:sz w:val="24"/>
          <w:szCs w:val="24"/>
        </w:rPr>
        <w:t>the Companies House Registration number of the Sub-Contractor(s);</w:t>
      </w:r>
    </w:p>
    <w:p w:rsidR="000E07F6" w:rsidRDefault="00D60FD9">
      <w:pPr>
        <w:widowControl/>
        <w:numPr>
          <w:ilvl w:val="3"/>
          <w:numId w:val="3"/>
        </w:numPr>
        <w:tabs>
          <w:tab w:val="left" w:pos="3641"/>
        </w:tabs>
        <w:spacing w:before="120" w:after="120"/>
        <w:rPr>
          <w:rFonts w:ascii="Arial" w:eastAsia="Arial" w:hAnsi="Arial" w:cs="Arial"/>
          <w:color w:val="000000"/>
        </w:rPr>
      </w:pPr>
      <w:r>
        <w:rPr>
          <w:rFonts w:ascii="Arial" w:eastAsia="Arial" w:hAnsi="Arial" w:cs="Arial"/>
          <w:sz w:val="24"/>
          <w:szCs w:val="24"/>
        </w:rPr>
        <w:t>the registered address of the Sub-Contractor(s) and the address of the premises from where the services will be delivered;</w:t>
      </w:r>
    </w:p>
    <w:p w:rsidR="000E07F6" w:rsidRDefault="00D60FD9">
      <w:pPr>
        <w:widowControl/>
        <w:numPr>
          <w:ilvl w:val="3"/>
          <w:numId w:val="3"/>
        </w:numPr>
        <w:tabs>
          <w:tab w:val="left" w:pos="3641"/>
        </w:tabs>
        <w:spacing w:before="120" w:after="120"/>
        <w:rPr>
          <w:rFonts w:ascii="Arial" w:eastAsia="Arial" w:hAnsi="Arial" w:cs="Arial"/>
          <w:color w:val="000000"/>
        </w:rPr>
      </w:pPr>
      <w:r>
        <w:rPr>
          <w:rFonts w:ascii="Arial" w:eastAsia="Arial" w:hAnsi="Arial" w:cs="Arial"/>
          <w:sz w:val="24"/>
          <w:szCs w:val="24"/>
        </w:rPr>
        <w:t>details of the elements of the Deliverables that will be Sub-Contracted; and</w:t>
      </w:r>
    </w:p>
    <w:p w:rsidR="000E07F6" w:rsidRDefault="00D60FD9">
      <w:pPr>
        <w:widowControl/>
        <w:numPr>
          <w:ilvl w:val="3"/>
          <w:numId w:val="3"/>
        </w:numPr>
        <w:tabs>
          <w:tab w:val="left" w:pos="3641"/>
        </w:tabs>
        <w:spacing w:before="120" w:after="120"/>
        <w:rPr>
          <w:rFonts w:ascii="Arial" w:eastAsia="Arial" w:hAnsi="Arial" w:cs="Arial"/>
          <w:color w:val="000000"/>
        </w:rPr>
      </w:pPr>
      <w:r>
        <w:rPr>
          <w:rFonts w:ascii="Arial" w:eastAsia="Arial" w:hAnsi="Arial" w:cs="Arial"/>
          <w:sz w:val="24"/>
          <w:szCs w:val="24"/>
        </w:rPr>
        <w:t xml:space="preserve">the estimated value of the work that will be Sub Contracted. </w:t>
      </w:r>
    </w:p>
    <w:p w:rsidR="000E07F6" w:rsidRDefault="00D60FD9">
      <w:pPr>
        <w:keepNext/>
        <w:widowControl/>
        <w:numPr>
          <w:ilvl w:val="1"/>
          <w:numId w:val="3"/>
        </w:numPr>
        <w:tabs>
          <w:tab w:val="left" w:pos="3054"/>
        </w:tabs>
        <w:spacing w:before="120" w:after="120"/>
        <w:rPr>
          <w:rFonts w:ascii="Arial" w:eastAsia="Arial" w:hAnsi="Arial" w:cs="Arial"/>
          <w:color w:val="000000"/>
        </w:rPr>
      </w:pPr>
      <w:r>
        <w:rPr>
          <w:rFonts w:ascii="Arial" w:eastAsia="Arial" w:hAnsi="Arial" w:cs="Arial"/>
          <w:sz w:val="24"/>
          <w:szCs w:val="24"/>
        </w:rPr>
        <w:t>The Supplier shall submit their Written Proposal in line with the requirements in the Buyer’s Statement of Requirements including timeframe and format.</w:t>
      </w:r>
    </w:p>
    <w:p w:rsidR="000E07F6" w:rsidRDefault="00D60FD9">
      <w:pPr>
        <w:keepNext/>
        <w:widowControl/>
        <w:numPr>
          <w:ilvl w:val="1"/>
          <w:numId w:val="3"/>
        </w:numPr>
        <w:tabs>
          <w:tab w:val="left" w:pos="3054"/>
        </w:tabs>
        <w:spacing w:before="120" w:after="120"/>
        <w:rPr>
          <w:rFonts w:ascii="Arial" w:eastAsia="Arial" w:hAnsi="Arial" w:cs="Arial"/>
          <w:color w:val="000000"/>
        </w:rPr>
      </w:pPr>
      <w:r>
        <w:rPr>
          <w:rFonts w:ascii="Arial" w:eastAsia="Arial" w:hAnsi="Arial" w:cs="Arial"/>
          <w:sz w:val="24"/>
          <w:szCs w:val="24"/>
        </w:rPr>
        <w:t>The Buyer shall score the Supplier’s Written Proposal against the Written Proposal evaluation method and scoring system outlined in the Statement of Requirements.</w:t>
      </w:r>
    </w:p>
    <w:p w:rsidR="000E07F6" w:rsidRDefault="000E07F6">
      <w:pPr>
        <w:widowControl/>
        <w:tabs>
          <w:tab w:val="left" w:pos="3641"/>
        </w:tabs>
        <w:spacing w:before="120" w:after="120"/>
        <w:ind w:left="2847"/>
        <w:rPr>
          <w:rFonts w:ascii="Arial" w:eastAsia="Arial" w:hAnsi="Arial" w:cs="Arial"/>
          <w:sz w:val="24"/>
          <w:szCs w:val="24"/>
        </w:rPr>
      </w:pPr>
    </w:p>
    <w:p w:rsidR="000E07F6" w:rsidRDefault="00D60FD9">
      <w:pPr>
        <w:keepNext/>
        <w:widowControl/>
        <w:tabs>
          <w:tab w:val="left" w:pos="3054"/>
        </w:tabs>
        <w:spacing w:before="120" w:after="120"/>
        <w:ind w:left="936" w:hanging="576"/>
        <w:rPr>
          <w:rFonts w:ascii="Arial Bold" w:eastAsia="Arial Bold" w:hAnsi="Arial Bold" w:cs="Arial Bold"/>
          <w:sz w:val="24"/>
          <w:szCs w:val="24"/>
        </w:rPr>
      </w:pPr>
      <w:r>
        <w:rPr>
          <w:rFonts w:ascii="Arial Bold" w:eastAsia="Arial Bold" w:hAnsi="Arial Bold" w:cs="Arial Bold"/>
          <w:sz w:val="24"/>
          <w:szCs w:val="24"/>
        </w:rPr>
        <w:t>Further competition procedure requirements</w:t>
      </w:r>
    </w:p>
    <w:p w:rsidR="000E07F6" w:rsidRDefault="00D60FD9">
      <w:pPr>
        <w:keepNext/>
        <w:widowControl/>
        <w:numPr>
          <w:ilvl w:val="1"/>
          <w:numId w:val="3"/>
        </w:numPr>
        <w:tabs>
          <w:tab w:val="left" w:pos="3054"/>
        </w:tabs>
        <w:spacing w:before="120" w:after="120"/>
        <w:rPr>
          <w:rFonts w:ascii="Arial" w:eastAsia="Arial" w:hAnsi="Arial" w:cs="Arial"/>
          <w:color w:val="000000"/>
        </w:rPr>
      </w:pPr>
      <w:r>
        <w:rPr>
          <w:rFonts w:ascii="Arial" w:eastAsia="Arial" w:hAnsi="Arial" w:cs="Arial"/>
          <w:sz w:val="24"/>
          <w:szCs w:val="24"/>
        </w:rPr>
        <w:t>The Buyer shall ensure that the Further Competition Procedure used is proportionate to the complexity and value of the Buyer’s Statement of Requirements.</w:t>
      </w:r>
    </w:p>
    <w:p w:rsidR="000E07F6" w:rsidRDefault="00D60FD9">
      <w:pPr>
        <w:keepNext/>
        <w:widowControl/>
        <w:numPr>
          <w:ilvl w:val="1"/>
          <w:numId w:val="3"/>
        </w:numPr>
        <w:tabs>
          <w:tab w:val="left" w:pos="3054"/>
        </w:tabs>
        <w:spacing w:before="120" w:after="120"/>
        <w:rPr>
          <w:rFonts w:ascii="Arial" w:eastAsia="Arial" w:hAnsi="Arial" w:cs="Arial"/>
          <w:color w:val="000000"/>
        </w:rPr>
      </w:pPr>
      <w:r>
        <w:rPr>
          <w:rFonts w:ascii="Arial" w:eastAsia="Arial" w:hAnsi="Arial" w:cs="Arial"/>
          <w:sz w:val="24"/>
          <w:szCs w:val="24"/>
        </w:rPr>
        <w:t xml:space="preserve">The Buyer shall apply different criteria for the evaluation of the EOI to the evaluation of the Written Proposal so that the same </w:t>
      </w:r>
      <w:r>
        <w:rPr>
          <w:rFonts w:ascii="Arial" w:eastAsia="Arial" w:hAnsi="Arial" w:cs="Arial"/>
          <w:sz w:val="24"/>
          <w:szCs w:val="24"/>
        </w:rPr>
        <w:lastRenderedPageBreak/>
        <w:t xml:space="preserve">criteria shall not be evaluated at both of those stages of the Further Competition Procedure. </w:t>
      </w:r>
    </w:p>
    <w:p w:rsidR="000E07F6" w:rsidRDefault="00D60FD9">
      <w:pPr>
        <w:keepNext/>
        <w:widowControl/>
        <w:numPr>
          <w:ilvl w:val="1"/>
          <w:numId w:val="3"/>
        </w:numPr>
        <w:tabs>
          <w:tab w:val="left" w:pos="3054"/>
        </w:tabs>
        <w:spacing w:before="120" w:after="120"/>
        <w:rPr>
          <w:rFonts w:ascii="Arial" w:eastAsia="Arial" w:hAnsi="Arial" w:cs="Arial"/>
          <w:color w:val="000000"/>
        </w:rPr>
      </w:pPr>
      <w:r>
        <w:rPr>
          <w:rFonts w:ascii="Arial" w:eastAsia="Arial" w:hAnsi="Arial" w:cs="Arial"/>
          <w:sz w:val="24"/>
          <w:szCs w:val="24"/>
        </w:rPr>
        <w:t>The Buyer shall award a Call-Off Contract to the successful Supplier in accordance with the methodology set out in the Statement of Requirements.</w:t>
      </w:r>
    </w:p>
    <w:p w:rsidR="000E07F6" w:rsidRDefault="00D60FD9">
      <w:pPr>
        <w:keepNext/>
        <w:widowControl/>
        <w:numPr>
          <w:ilvl w:val="1"/>
          <w:numId w:val="3"/>
        </w:numPr>
        <w:tabs>
          <w:tab w:val="left" w:pos="3054"/>
        </w:tabs>
        <w:spacing w:before="120" w:after="120"/>
        <w:rPr>
          <w:rFonts w:ascii="Arial" w:eastAsia="Arial" w:hAnsi="Arial" w:cs="Arial"/>
          <w:color w:val="000000"/>
        </w:rPr>
      </w:pPr>
      <w:r>
        <w:rPr>
          <w:rFonts w:ascii="Arial" w:eastAsia="Arial" w:hAnsi="Arial" w:cs="Arial"/>
          <w:sz w:val="24"/>
          <w:szCs w:val="24"/>
        </w:rPr>
        <w:t>At all stages the Buyer shall notify unsuccessful Suppliers and provide the Suppliers with feedback as to why they have been unsuccessful.</w:t>
      </w:r>
    </w:p>
    <w:p w:rsidR="000E07F6" w:rsidRDefault="00D60FD9">
      <w:pPr>
        <w:keepNext/>
        <w:widowControl/>
        <w:numPr>
          <w:ilvl w:val="1"/>
          <w:numId w:val="3"/>
        </w:numPr>
        <w:tabs>
          <w:tab w:val="left" w:pos="3054"/>
        </w:tabs>
        <w:spacing w:before="120" w:after="120"/>
        <w:rPr>
          <w:rFonts w:ascii="Arial" w:eastAsia="Arial" w:hAnsi="Arial" w:cs="Arial"/>
          <w:color w:val="000000"/>
        </w:rPr>
      </w:pPr>
      <w:r>
        <w:rPr>
          <w:rFonts w:ascii="Arial" w:eastAsia="Arial" w:hAnsi="Arial" w:cs="Arial"/>
          <w:sz w:val="24"/>
          <w:szCs w:val="24"/>
        </w:rPr>
        <w:t>A Supplier shall inform the Buyer if at any stage it does not wish to participate further in the Further Competition Procedure.</w:t>
      </w:r>
    </w:p>
    <w:p w:rsidR="000E07F6" w:rsidRDefault="00D60FD9">
      <w:pPr>
        <w:keepNext/>
        <w:widowControl/>
        <w:tabs>
          <w:tab w:val="left" w:pos="3054"/>
        </w:tabs>
        <w:spacing w:before="120" w:after="120"/>
        <w:ind w:left="936" w:hanging="576"/>
        <w:rPr>
          <w:rFonts w:ascii="Arial Bold" w:eastAsia="Arial Bold" w:hAnsi="Arial Bold" w:cs="Arial Bold"/>
          <w:sz w:val="24"/>
          <w:szCs w:val="24"/>
        </w:rPr>
      </w:pPr>
      <w:r>
        <w:rPr>
          <w:rFonts w:ascii="Arial Bold" w:eastAsia="Arial Bold" w:hAnsi="Arial Bold" w:cs="Arial Bold"/>
          <w:sz w:val="24"/>
          <w:szCs w:val="24"/>
        </w:rPr>
        <w:t>Further competition award criteria</w:t>
      </w:r>
    </w:p>
    <w:p w:rsidR="000E07F6" w:rsidRDefault="00D60FD9">
      <w:pPr>
        <w:keepNext/>
        <w:widowControl/>
        <w:numPr>
          <w:ilvl w:val="1"/>
          <w:numId w:val="3"/>
        </w:numPr>
        <w:tabs>
          <w:tab w:val="left" w:pos="3054"/>
        </w:tabs>
        <w:spacing w:before="120" w:after="120"/>
        <w:rPr>
          <w:rFonts w:ascii="Arial" w:eastAsia="Arial" w:hAnsi="Arial" w:cs="Arial"/>
          <w:color w:val="000000"/>
        </w:rPr>
      </w:pPr>
      <w:r>
        <w:rPr>
          <w:rFonts w:ascii="Arial" w:eastAsia="Arial" w:hAnsi="Arial" w:cs="Arial"/>
          <w:sz w:val="24"/>
          <w:szCs w:val="24"/>
        </w:rPr>
        <w:t>The Buyer has discretion to develop the Further Competition Award Criteria as it deems appropriate.</w:t>
      </w:r>
    </w:p>
    <w:p w:rsidR="000E07F6" w:rsidRDefault="00D60FD9">
      <w:pPr>
        <w:keepNext/>
        <w:widowControl/>
        <w:numPr>
          <w:ilvl w:val="1"/>
          <w:numId w:val="3"/>
        </w:numPr>
        <w:tabs>
          <w:tab w:val="left" w:pos="3054"/>
        </w:tabs>
        <w:spacing w:before="120" w:after="120"/>
        <w:rPr>
          <w:rFonts w:ascii="Arial" w:eastAsia="Arial" w:hAnsi="Arial" w:cs="Arial"/>
          <w:color w:val="000000"/>
        </w:rPr>
      </w:pPr>
      <w:r>
        <w:rPr>
          <w:rFonts w:ascii="Arial" w:eastAsia="Arial" w:hAnsi="Arial" w:cs="Arial"/>
          <w:sz w:val="24"/>
          <w:szCs w:val="24"/>
        </w:rPr>
        <w:t>The Buyer will evaluate the Supplier’s EOI against the criteria set out in the Statement of Requirements</w:t>
      </w:r>
    </w:p>
    <w:p w:rsidR="000E07F6" w:rsidRDefault="00D60FD9">
      <w:pPr>
        <w:keepNext/>
        <w:widowControl/>
        <w:numPr>
          <w:ilvl w:val="1"/>
          <w:numId w:val="3"/>
        </w:numPr>
        <w:tabs>
          <w:tab w:val="left" w:pos="3054"/>
        </w:tabs>
        <w:spacing w:before="120" w:after="120"/>
        <w:rPr>
          <w:rFonts w:ascii="Arial" w:eastAsia="Arial" w:hAnsi="Arial" w:cs="Arial"/>
          <w:color w:val="000000"/>
        </w:rPr>
      </w:pPr>
      <w:r>
        <w:rPr>
          <w:rFonts w:ascii="Arial" w:eastAsia="Arial" w:hAnsi="Arial" w:cs="Arial"/>
          <w:sz w:val="24"/>
          <w:szCs w:val="24"/>
        </w:rPr>
        <w:t>The Buyer will evaluate the Supplier’s Written Proposal against the criteria in Part 2 Annex B (to determine which of the Suppliers provides the most economically advantageous solution from the perspective of the Buyer as the basis of its decision to award a Call-Off Contract for the Deliverables. For the avoidance of doubt the most economically advantageous solution will not necessarily be the lowest price solution</w:t>
      </w:r>
    </w:p>
    <w:p w:rsidR="000E07F6" w:rsidRDefault="00D60FD9">
      <w:pPr>
        <w:keepNext/>
        <w:widowControl/>
        <w:numPr>
          <w:ilvl w:val="1"/>
          <w:numId w:val="3"/>
        </w:numPr>
        <w:tabs>
          <w:tab w:val="left" w:pos="3054"/>
        </w:tabs>
        <w:spacing w:before="120" w:after="120"/>
        <w:rPr>
          <w:rFonts w:ascii="Arial" w:eastAsia="Arial" w:hAnsi="Arial" w:cs="Arial"/>
          <w:color w:val="000000"/>
        </w:rPr>
      </w:pPr>
      <w:r>
        <w:rPr>
          <w:rFonts w:ascii="Arial" w:eastAsia="Arial" w:hAnsi="Arial" w:cs="Arial"/>
          <w:sz w:val="24"/>
          <w:szCs w:val="24"/>
        </w:rPr>
        <w:t>On the basis set out above, the Buyer shall award its Call-Off Contract to the successful Supplier in accordance with Paragraph 6. The Call-Off Contract shall:</w:t>
      </w:r>
    </w:p>
    <w:p w:rsidR="000E07F6" w:rsidRDefault="00D60FD9">
      <w:pPr>
        <w:widowControl/>
        <w:numPr>
          <w:ilvl w:val="2"/>
          <w:numId w:val="3"/>
        </w:numPr>
        <w:tabs>
          <w:tab w:val="left" w:pos="3641"/>
        </w:tabs>
        <w:spacing w:before="120" w:after="120"/>
        <w:rPr>
          <w:rFonts w:ascii="Arial" w:eastAsia="Arial" w:hAnsi="Arial" w:cs="Arial"/>
          <w:color w:val="000000"/>
        </w:rPr>
      </w:pPr>
      <w:r>
        <w:rPr>
          <w:rFonts w:ascii="Arial" w:eastAsia="Arial" w:hAnsi="Arial" w:cs="Arial"/>
          <w:sz w:val="24"/>
          <w:szCs w:val="24"/>
        </w:rPr>
        <w:t>state the Deliverables;</w:t>
      </w:r>
    </w:p>
    <w:p w:rsidR="000E07F6" w:rsidRDefault="00D60FD9">
      <w:pPr>
        <w:widowControl/>
        <w:numPr>
          <w:ilvl w:val="2"/>
          <w:numId w:val="3"/>
        </w:numPr>
        <w:tabs>
          <w:tab w:val="left" w:pos="3641"/>
        </w:tabs>
        <w:spacing w:before="120" w:after="120"/>
        <w:rPr>
          <w:rFonts w:ascii="Arial" w:eastAsia="Arial" w:hAnsi="Arial" w:cs="Arial"/>
          <w:color w:val="000000"/>
        </w:rPr>
      </w:pPr>
      <w:r>
        <w:rPr>
          <w:rFonts w:ascii="Arial" w:eastAsia="Arial" w:hAnsi="Arial" w:cs="Arial"/>
          <w:sz w:val="24"/>
          <w:szCs w:val="24"/>
        </w:rPr>
        <w:t>state the tender submitted by the successful Supplier;</w:t>
      </w:r>
    </w:p>
    <w:p w:rsidR="000E07F6" w:rsidRDefault="00D60FD9">
      <w:pPr>
        <w:widowControl/>
        <w:numPr>
          <w:ilvl w:val="2"/>
          <w:numId w:val="3"/>
        </w:numPr>
        <w:tabs>
          <w:tab w:val="left" w:pos="3641"/>
        </w:tabs>
        <w:spacing w:before="120" w:after="120"/>
        <w:rPr>
          <w:rFonts w:ascii="Arial" w:eastAsia="Arial" w:hAnsi="Arial" w:cs="Arial"/>
          <w:color w:val="000000"/>
        </w:rPr>
      </w:pPr>
      <w:r>
        <w:rPr>
          <w:rFonts w:ascii="Arial" w:eastAsia="Arial" w:hAnsi="Arial" w:cs="Arial"/>
          <w:sz w:val="24"/>
          <w:szCs w:val="24"/>
        </w:rPr>
        <w:t>state the Charges payable for the Deliverables, Special Term 1 if applicable and</w:t>
      </w:r>
    </w:p>
    <w:p w:rsidR="000E07F6" w:rsidRDefault="00D60FD9">
      <w:pPr>
        <w:widowControl/>
        <w:numPr>
          <w:ilvl w:val="2"/>
          <w:numId w:val="3"/>
        </w:numPr>
        <w:tabs>
          <w:tab w:val="left" w:pos="3641"/>
        </w:tabs>
        <w:spacing w:before="120" w:after="120"/>
        <w:rPr>
          <w:rFonts w:ascii="Arial" w:eastAsia="Arial" w:hAnsi="Arial" w:cs="Arial"/>
          <w:color w:val="000000"/>
        </w:rPr>
      </w:pPr>
      <w:r>
        <w:rPr>
          <w:rFonts w:ascii="Arial" w:eastAsia="Arial" w:hAnsi="Arial" w:cs="Arial"/>
          <w:sz w:val="24"/>
          <w:szCs w:val="24"/>
        </w:rPr>
        <w:t>incorporate the terms of the Order Form and Contract (as may be amended or refined by the Buyer to the extent permitted by and in accordance with the requirements of the Regulations) applicable to the Deliverables,</w:t>
      </w:r>
    </w:p>
    <w:p w:rsidR="000E07F6" w:rsidRDefault="000E07F6">
      <w:pPr>
        <w:keepNext/>
        <w:widowControl/>
        <w:tabs>
          <w:tab w:val="left" w:pos="3054"/>
        </w:tabs>
        <w:spacing w:before="120" w:after="120"/>
        <w:ind w:left="1080"/>
        <w:rPr>
          <w:rFonts w:ascii="Arial" w:eastAsia="Arial" w:hAnsi="Arial" w:cs="Arial"/>
          <w:sz w:val="24"/>
          <w:szCs w:val="24"/>
        </w:rPr>
      </w:pPr>
    </w:p>
    <w:p w:rsidR="000E07F6" w:rsidRDefault="00D60FD9">
      <w:pPr>
        <w:keepNext/>
        <w:widowControl/>
        <w:numPr>
          <w:ilvl w:val="0"/>
          <w:numId w:val="3"/>
        </w:numPr>
        <w:tabs>
          <w:tab w:val="left" w:pos="142"/>
        </w:tabs>
        <w:spacing w:before="120" w:after="240"/>
        <w:rPr>
          <w:rFonts w:ascii="Arial Bold" w:eastAsia="Arial Bold" w:hAnsi="Arial Bold" w:cs="Arial Bold"/>
          <w:color w:val="000000"/>
        </w:rPr>
      </w:pPr>
      <w:r>
        <w:rPr>
          <w:rFonts w:ascii="Arial Bold" w:eastAsia="Arial Bold" w:hAnsi="Arial Bold" w:cs="Arial Bold"/>
          <w:b/>
          <w:sz w:val="24"/>
          <w:szCs w:val="24"/>
        </w:rPr>
        <w:t>How a further competition works with Dialogue works</w:t>
      </w:r>
    </w:p>
    <w:p w:rsidR="000E07F6" w:rsidRDefault="00D60FD9">
      <w:pPr>
        <w:keepNext/>
        <w:widowControl/>
        <w:numPr>
          <w:ilvl w:val="1"/>
          <w:numId w:val="3"/>
        </w:numPr>
        <w:tabs>
          <w:tab w:val="left" w:pos="3054"/>
        </w:tabs>
        <w:spacing w:before="120" w:after="120"/>
        <w:rPr>
          <w:rFonts w:ascii="Arial" w:eastAsia="Arial" w:hAnsi="Arial" w:cs="Arial"/>
          <w:color w:val="000000"/>
        </w:rPr>
      </w:pPr>
      <w:r>
        <w:rPr>
          <w:rFonts w:ascii="Arial" w:eastAsia="Arial" w:hAnsi="Arial" w:cs="Arial"/>
          <w:sz w:val="24"/>
          <w:szCs w:val="24"/>
        </w:rPr>
        <w:t>The Buyer awarding a Call-Off Contract under this Contract through a Further Competition Procedure shall:</w:t>
      </w:r>
    </w:p>
    <w:p w:rsidR="000E07F6" w:rsidRDefault="00D60FD9">
      <w:pPr>
        <w:widowControl/>
        <w:numPr>
          <w:ilvl w:val="3"/>
          <w:numId w:val="3"/>
        </w:numPr>
        <w:tabs>
          <w:tab w:val="left" w:pos="3641"/>
        </w:tabs>
        <w:spacing w:before="120" w:after="120"/>
        <w:rPr>
          <w:rFonts w:ascii="Arial" w:eastAsia="Arial" w:hAnsi="Arial" w:cs="Arial"/>
          <w:color w:val="000000"/>
        </w:rPr>
      </w:pPr>
      <w:r>
        <w:rPr>
          <w:rFonts w:ascii="Arial" w:eastAsia="Arial" w:hAnsi="Arial" w:cs="Arial"/>
          <w:sz w:val="24"/>
          <w:szCs w:val="24"/>
        </w:rPr>
        <w:t>if an Electronic Reverse Auction (as defined in Paragraph 7 below) is to be held, the Buyer shall notify the Suppliers identified in accordance with Paragraph 3.5 and shall conduct the Further Competition Procedure in accordance with the procedures set out in Paragraph 3; or</w:t>
      </w:r>
    </w:p>
    <w:p w:rsidR="000E07F6" w:rsidRDefault="00D60FD9">
      <w:pPr>
        <w:keepNext/>
        <w:widowControl/>
        <w:numPr>
          <w:ilvl w:val="3"/>
          <w:numId w:val="3"/>
        </w:numPr>
        <w:tabs>
          <w:tab w:val="left" w:pos="3641"/>
        </w:tabs>
        <w:spacing w:before="120" w:after="120"/>
        <w:rPr>
          <w:rFonts w:ascii="Arial" w:eastAsia="Arial" w:hAnsi="Arial" w:cs="Arial"/>
          <w:color w:val="000000"/>
        </w:rPr>
      </w:pPr>
      <w:r>
        <w:rPr>
          <w:rFonts w:ascii="Arial" w:eastAsia="Arial" w:hAnsi="Arial" w:cs="Arial"/>
          <w:sz w:val="24"/>
          <w:szCs w:val="24"/>
        </w:rPr>
        <w:lastRenderedPageBreak/>
        <w:t>if an Electronic Reverse Auction is not used, the Buyer shall:</w:t>
      </w:r>
    </w:p>
    <w:p w:rsidR="000E07F6" w:rsidRDefault="00D60FD9">
      <w:pPr>
        <w:widowControl/>
        <w:numPr>
          <w:ilvl w:val="4"/>
          <w:numId w:val="3"/>
        </w:numPr>
        <w:tabs>
          <w:tab w:val="left" w:pos="6238"/>
        </w:tabs>
        <w:spacing w:before="120" w:after="120"/>
        <w:rPr>
          <w:rFonts w:ascii="Arial" w:eastAsia="Arial" w:hAnsi="Arial" w:cs="Arial"/>
          <w:sz w:val="24"/>
          <w:szCs w:val="24"/>
        </w:rPr>
      </w:pPr>
      <w:r>
        <w:rPr>
          <w:rFonts w:ascii="Arial" w:eastAsia="Arial" w:hAnsi="Arial" w:cs="Arial"/>
          <w:sz w:val="24"/>
          <w:szCs w:val="24"/>
        </w:rPr>
        <w:t>provide the Statement of Requirements to the Suppliers identified in accordance with Paragraph 3.5 by email to the relevant Supplier Representative of each Supplier;</w:t>
      </w:r>
    </w:p>
    <w:p w:rsidR="000E07F6" w:rsidRDefault="00D60FD9">
      <w:pPr>
        <w:widowControl/>
        <w:numPr>
          <w:ilvl w:val="4"/>
          <w:numId w:val="3"/>
        </w:numPr>
        <w:tabs>
          <w:tab w:val="left" w:pos="6238"/>
        </w:tabs>
        <w:spacing w:before="120" w:after="120"/>
        <w:rPr>
          <w:rFonts w:ascii="Arial" w:eastAsia="Arial" w:hAnsi="Arial" w:cs="Arial"/>
          <w:sz w:val="24"/>
          <w:szCs w:val="24"/>
        </w:rPr>
      </w:pPr>
      <w:r>
        <w:rPr>
          <w:rFonts w:ascii="Arial" w:eastAsia="Arial" w:hAnsi="Arial" w:cs="Arial"/>
          <w:sz w:val="24"/>
          <w:szCs w:val="24"/>
        </w:rPr>
        <w:t>set a time limit for the receipt by it of:</w:t>
      </w:r>
    </w:p>
    <w:p w:rsidR="000E07F6" w:rsidRDefault="00D60FD9">
      <w:pPr>
        <w:widowControl/>
        <w:numPr>
          <w:ilvl w:val="5"/>
          <w:numId w:val="3"/>
        </w:numPr>
        <w:tabs>
          <w:tab w:val="left" w:pos="6238"/>
        </w:tabs>
        <w:spacing w:before="120" w:after="120"/>
        <w:rPr>
          <w:rFonts w:ascii="Arial" w:eastAsia="Arial" w:hAnsi="Arial" w:cs="Arial"/>
          <w:sz w:val="24"/>
          <w:szCs w:val="24"/>
        </w:rPr>
      </w:pPr>
      <w:r>
        <w:rPr>
          <w:rFonts w:ascii="Arial" w:eastAsia="Arial" w:hAnsi="Arial" w:cs="Arial"/>
          <w:sz w:val="24"/>
          <w:szCs w:val="24"/>
        </w:rPr>
        <w:t>the EOI; and</w:t>
      </w:r>
    </w:p>
    <w:p w:rsidR="000E07F6" w:rsidRDefault="00D60FD9">
      <w:pPr>
        <w:widowControl/>
        <w:numPr>
          <w:ilvl w:val="5"/>
          <w:numId w:val="3"/>
        </w:numPr>
        <w:tabs>
          <w:tab w:val="left" w:pos="6238"/>
        </w:tabs>
        <w:spacing w:before="120" w:after="120"/>
        <w:rPr>
          <w:rFonts w:ascii="Arial" w:eastAsia="Arial" w:hAnsi="Arial" w:cs="Arial"/>
          <w:sz w:val="24"/>
          <w:szCs w:val="24"/>
        </w:rPr>
      </w:pPr>
      <w:r>
        <w:rPr>
          <w:rFonts w:ascii="Arial" w:eastAsia="Arial" w:hAnsi="Arial" w:cs="Arial"/>
          <w:sz w:val="24"/>
          <w:szCs w:val="24"/>
        </w:rPr>
        <w:t>the Written Proposal, following the Dialogue,</w:t>
      </w:r>
    </w:p>
    <w:p w:rsidR="000E07F6" w:rsidRDefault="00D60FD9">
      <w:pPr>
        <w:widowControl/>
        <w:tabs>
          <w:tab w:val="left" w:pos="6238"/>
        </w:tabs>
        <w:spacing w:before="120" w:after="120"/>
        <w:ind w:left="3031"/>
        <w:rPr>
          <w:rFonts w:ascii="Arial" w:eastAsia="Arial" w:hAnsi="Arial" w:cs="Arial"/>
          <w:sz w:val="24"/>
          <w:szCs w:val="24"/>
        </w:rPr>
      </w:pPr>
      <w:r>
        <w:rPr>
          <w:rFonts w:ascii="Arial" w:eastAsia="Arial" w:hAnsi="Arial" w:cs="Arial"/>
          <w:sz w:val="24"/>
          <w:szCs w:val="24"/>
        </w:rPr>
        <w:t>which takes into account factors such as the complexity of the subject matter of the proposed Call-Off Contract and the time needed to submit the EOI or Written Proposal; and</w:t>
      </w:r>
    </w:p>
    <w:p w:rsidR="000E07F6" w:rsidRDefault="00D60FD9">
      <w:pPr>
        <w:widowControl/>
        <w:numPr>
          <w:ilvl w:val="4"/>
          <w:numId w:val="3"/>
        </w:numPr>
        <w:tabs>
          <w:tab w:val="left" w:pos="6238"/>
        </w:tabs>
        <w:spacing w:before="120" w:after="120"/>
        <w:rPr>
          <w:rFonts w:ascii="Arial" w:eastAsia="Arial" w:hAnsi="Arial" w:cs="Arial"/>
          <w:sz w:val="24"/>
          <w:szCs w:val="24"/>
        </w:rPr>
      </w:pPr>
      <w:r>
        <w:rPr>
          <w:rFonts w:ascii="Arial" w:eastAsia="Arial" w:hAnsi="Arial" w:cs="Arial"/>
          <w:sz w:val="24"/>
          <w:szCs w:val="24"/>
        </w:rPr>
        <w:t>keep each tender confidential until the time limit set out for the return of Written Proposals has expired.</w:t>
      </w:r>
    </w:p>
    <w:p w:rsidR="000E07F6" w:rsidRDefault="000E07F6">
      <w:pPr>
        <w:keepNext/>
        <w:widowControl/>
        <w:pBdr>
          <w:top w:val="nil"/>
          <w:left w:val="nil"/>
          <w:bottom w:val="nil"/>
          <w:right w:val="nil"/>
          <w:between w:val="nil"/>
        </w:pBdr>
        <w:tabs>
          <w:tab w:val="left" w:pos="3054"/>
        </w:tabs>
        <w:spacing w:before="120" w:after="120"/>
        <w:rPr>
          <w:rFonts w:ascii="Arial" w:eastAsia="Arial" w:hAnsi="Arial" w:cs="Arial"/>
          <w:b/>
          <w:sz w:val="24"/>
          <w:szCs w:val="24"/>
        </w:rPr>
      </w:pPr>
    </w:p>
    <w:p w:rsidR="000E07F6" w:rsidRDefault="000E07F6">
      <w:pPr>
        <w:keepNext/>
        <w:widowControl/>
        <w:pBdr>
          <w:top w:val="nil"/>
          <w:left w:val="nil"/>
          <w:bottom w:val="nil"/>
          <w:right w:val="nil"/>
          <w:between w:val="nil"/>
        </w:pBdr>
        <w:tabs>
          <w:tab w:val="left" w:pos="3054"/>
        </w:tabs>
        <w:spacing w:before="120" w:after="120"/>
        <w:rPr>
          <w:rFonts w:ascii="Arial" w:eastAsia="Arial" w:hAnsi="Arial" w:cs="Arial"/>
          <w:b/>
          <w:sz w:val="24"/>
          <w:szCs w:val="24"/>
        </w:rPr>
      </w:pPr>
    </w:p>
    <w:p w:rsidR="000E07F6" w:rsidRDefault="00D60FD9">
      <w:pPr>
        <w:keepNext/>
        <w:widowControl/>
        <w:pBdr>
          <w:top w:val="nil"/>
          <w:left w:val="nil"/>
          <w:bottom w:val="nil"/>
          <w:right w:val="nil"/>
          <w:between w:val="nil"/>
        </w:pBdr>
        <w:tabs>
          <w:tab w:val="left" w:pos="3054"/>
        </w:tabs>
        <w:spacing w:before="120" w:after="120"/>
        <w:rPr>
          <w:rFonts w:ascii="Arial" w:eastAsia="Arial" w:hAnsi="Arial" w:cs="Arial"/>
          <w:b/>
          <w:color w:val="000000"/>
          <w:sz w:val="24"/>
          <w:szCs w:val="24"/>
        </w:rPr>
      </w:pPr>
      <w:r>
        <w:rPr>
          <w:rFonts w:ascii="Arial" w:eastAsia="Arial" w:hAnsi="Arial" w:cs="Arial"/>
          <w:b/>
          <w:color w:val="000000"/>
          <w:sz w:val="24"/>
          <w:szCs w:val="24"/>
        </w:rPr>
        <w:t>What the Supplier has to do</w:t>
      </w:r>
    </w:p>
    <w:p w:rsidR="000E07F6" w:rsidRDefault="00D60FD9">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b/>
          <w:color w:val="000000"/>
          <w:sz w:val="24"/>
          <w:szCs w:val="24"/>
        </w:rPr>
      </w:pPr>
      <w:r>
        <w:rPr>
          <w:rFonts w:ascii="Arial" w:eastAsia="Arial" w:hAnsi="Arial" w:cs="Arial"/>
          <w:color w:val="000000"/>
          <w:sz w:val="24"/>
          <w:szCs w:val="24"/>
        </w:rPr>
        <w:t>The Supplier shall in writing, by the time and date specified by the Buyer following an invitation to tender pursuant to Paragraph 3.1.3 above, provide CCS and the Buyer with either:</w:t>
      </w:r>
    </w:p>
    <w:p w:rsidR="000E07F6" w:rsidRDefault="000E07F6">
      <w:pPr>
        <w:widowControl/>
        <w:pBdr>
          <w:top w:val="nil"/>
          <w:left w:val="nil"/>
          <w:bottom w:val="nil"/>
          <w:right w:val="nil"/>
          <w:between w:val="nil"/>
        </w:pBdr>
        <w:tabs>
          <w:tab w:val="left" w:pos="3641"/>
        </w:tabs>
        <w:spacing w:before="120" w:after="120"/>
        <w:rPr>
          <w:rFonts w:ascii="Arial" w:eastAsia="Arial" w:hAnsi="Arial" w:cs="Arial"/>
          <w:color w:val="000000"/>
          <w:sz w:val="24"/>
          <w:szCs w:val="24"/>
        </w:rPr>
      </w:pPr>
    </w:p>
    <w:p w:rsidR="000E07F6" w:rsidRDefault="00D60FD9">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 statement to the effect that it does not wish to tender in relation to the Deliverables; or</w:t>
      </w:r>
    </w:p>
    <w:p w:rsidR="000E07F6" w:rsidRDefault="00D60FD9">
      <w:pPr>
        <w:keepNext/>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full details of its tender made in respect of the relevant Statement of Requirements. In the event that the Supplier submits such a tender, it should include, as a minimum:</w:t>
      </w:r>
    </w:p>
    <w:p w:rsidR="000E07F6" w:rsidRDefault="00D60FD9">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an email response subject line to comprise unique reference number and Supplier name, so as to clearly identify the Supplier;</w:t>
      </w:r>
    </w:p>
    <w:p w:rsidR="000E07F6" w:rsidRDefault="00D60FD9">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 brief summary, in the email (followed by a confirmation letter), stating that the Supplier is bidding for the Statement of Requirements;</w:t>
      </w:r>
    </w:p>
    <w:p w:rsidR="000E07F6" w:rsidRDefault="00D60FD9">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 proposal covering the Deliverables, including itemising any expenses and any disbursements and their associated cost that the Supplier expects to charge to the Buyer under the Call-Off Contract;</w:t>
      </w:r>
    </w:p>
    <w:p w:rsidR="000E07F6" w:rsidRDefault="00D60FD9">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CVs of key staff – as a minimum any lead consultant, with others, as considered appropriate along with required staff levels (if necessary); and</w:t>
      </w:r>
    </w:p>
    <w:p w:rsidR="000E07F6" w:rsidRDefault="00D60FD9">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confirmation of discounts applicable to the Deliverables, as referenced in Framework Schedule 3 (Framework Prices) (if applicable).</w:t>
      </w:r>
    </w:p>
    <w:p w:rsidR="000E07F6" w:rsidRDefault="00D60FD9">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The Supplier shall ensure that any prices submitted in relation to a Further Competition Procedure held pursuant to this Paragraph 3 shall be based on the charging structure and take into account any discount to which the Buyer may be entitled as set out in Framework Schedule 3 (Framework Prices).</w:t>
      </w:r>
    </w:p>
    <w:p w:rsidR="000E07F6" w:rsidRDefault="00D60FD9">
      <w:pPr>
        <w:keepNext/>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Supplier agrees that:</w:t>
      </w:r>
    </w:p>
    <w:p w:rsidR="000E07F6" w:rsidRDefault="00D60FD9">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rsidR="000E07F6" w:rsidRDefault="00D60FD9">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E07F6" w:rsidRDefault="00D60FD9">
      <w:pPr>
        <w:widowControl/>
        <w:numPr>
          <w:ilvl w:val="4"/>
          <w:numId w:val="3"/>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E07F6" w:rsidRDefault="00D60FD9">
      <w:pPr>
        <w:widowControl/>
        <w:numPr>
          <w:ilvl w:val="4"/>
          <w:numId w:val="3"/>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enter into any arrangement or agreement with any other person that he or the other person(s) shall refrain from submitting a tender or as to the amount of any tenders to be submitted.</w:t>
      </w:r>
    </w:p>
    <w:p w:rsidR="000E07F6" w:rsidRDefault="00D60FD9">
      <w:pPr>
        <w:keepNext/>
        <w:widowControl/>
        <w:numPr>
          <w:ilvl w:val="0"/>
          <w:numId w:val="3"/>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No requirement to award</w:t>
      </w:r>
    </w:p>
    <w:p w:rsidR="000E07F6" w:rsidRDefault="00D60FD9">
      <w:pPr>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rsidR="000E07F6" w:rsidRDefault="00D60FD9">
      <w:pPr>
        <w:keepNext/>
        <w:widowControl/>
        <w:numPr>
          <w:ilvl w:val="0"/>
          <w:numId w:val="3"/>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Who is responsible for the award</w:t>
      </w:r>
    </w:p>
    <w:p w:rsidR="000E07F6" w:rsidRDefault="00D60FD9">
      <w:pPr>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rsidR="000E07F6" w:rsidRDefault="00D60FD9">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conduct of Buyer in relation to this Contract; or</w:t>
      </w:r>
    </w:p>
    <w:p w:rsidR="000E07F6" w:rsidRDefault="00D60FD9">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performance or non-performance of any Call-Off Contracts between the Supplier and Buyer entered into pursuant to this Contract.</w:t>
      </w:r>
    </w:p>
    <w:p w:rsidR="000E07F6" w:rsidRDefault="00D60FD9">
      <w:pPr>
        <w:keepNext/>
        <w:widowControl/>
        <w:numPr>
          <w:ilvl w:val="0"/>
          <w:numId w:val="3"/>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lastRenderedPageBreak/>
        <w:t>Awarding and creating a Call-Off Contract</w:t>
      </w:r>
    </w:p>
    <w:p w:rsidR="000E07F6" w:rsidRDefault="00D60FD9">
      <w:pPr>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9" w:name="_heading=h.1t3h5sf" w:colFirst="0" w:colLast="0"/>
      <w:bookmarkEnd w:id="9"/>
      <w:r>
        <w:rPr>
          <w:rFonts w:ascii="Arial" w:eastAsia="Arial" w:hAnsi="Arial" w:cs="Arial"/>
          <w:color w:val="000000"/>
          <w:sz w:val="24"/>
          <w:szCs w:val="24"/>
        </w:rPr>
        <w:t>Subject to Paragraphs 1 to 5 above and 7, a Buyer may award a Call-Off Contract with the Supplier by sending (including electronically) a signed order form substantially in the form (as may be amended or refined by the Buyer in accordance with Paragraph 3.1.2 above) of the Order Form Template set out in Framework Schedule 6 (Order Form Template and Call-Off Schedules).</w:t>
      </w:r>
    </w:p>
    <w:p w:rsidR="000E07F6" w:rsidRDefault="00D60FD9">
      <w:pPr>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Parties agree that any document or communication (including any document or communication in the apparent form of a Call-Off Contract) which is not as described in this Paragraph 6 shall not constitute a Call-Off Contract under this Contract.</w:t>
      </w:r>
    </w:p>
    <w:p w:rsidR="000E07F6" w:rsidRDefault="00D60FD9">
      <w:pPr>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10" w:name="_heading=h.4d34og8" w:colFirst="0" w:colLast="0"/>
      <w:bookmarkEnd w:id="10"/>
      <w:r>
        <w:rPr>
          <w:rFonts w:ascii="Arial" w:eastAsia="Arial" w:hAnsi="Arial" w:cs="Arial"/>
          <w:color w:val="000000"/>
          <w:sz w:val="24"/>
          <w:szCs w:val="24"/>
        </w:rPr>
        <w:t>On receipt of an order form as described in Paragraph 6.1 from a Buyer the Supplier shall accept the Call-Off Contract by promptly signing and returning (including by electronic means) a copy of the order form to the Buyer concerned.</w:t>
      </w:r>
    </w:p>
    <w:p w:rsidR="000E07F6" w:rsidRDefault="00D60FD9">
      <w:pPr>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rsidR="000E07F6" w:rsidRDefault="00D60FD9">
      <w:pPr>
        <w:keepNext/>
        <w:widowControl/>
        <w:numPr>
          <w:ilvl w:val="0"/>
          <w:numId w:val="3"/>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How e-auctions work</w:t>
      </w:r>
    </w:p>
    <w:p w:rsidR="000E07F6" w:rsidRDefault="00D60FD9">
      <w:pPr>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shall be entitled to include a reverse auction in the Further Competition Procedure in accordance with the rules laid down by the Buyer and the Regulations.</w:t>
      </w:r>
    </w:p>
    <w:p w:rsidR="000E07F6" w:rsidRDefault="00D60FD9">
      <w:pPr>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11" w:name="_heading=h.2s8eyo1" w:colFirst="0" w:colLast="0"/>
      <w:bookmarkEnd w:id="11"/>
      <w:r>
        <w:rPr>
          <w:rFonts w:ascii="Arial" w:eastAsia="Arial" w:hAnsi="Arial" w:cs="Arial"/>
          <w:color w:val="000000"/>
          <w:sz w:val="24"/>
          <w:szCs w:val="24"/>
        </w:rPr>
        <w:t>Where the Buyer wishes to undertake an electronic reverse auction, where Suppliers compete in real time by bidding as the auction unfolds (</w:t>
      </w:r>
      <w:r>
        <w:rPr>
          <w:rFonts w:ascii="Arial" w:eastAsia="Arial" w:hAnsi="Arial" w:cs="Arial"/>
          <w:b/>
          <w:color w:val="000000"/>
          <w:sz w:val="24"/>
          <w:szCs w:val="24"/>
        </w:rPr>
        <w:t>"Electronic Reverse Auction"</w:t>
      </w:r>
      <w:r>
        <w:rPr>
          <w:rFonts w:ascii="Arial" w:eastAsia="Arial" w:hAnsi="Arial" w:cs="Arial"/>
          <w:color w:val="000000"/>
          <w:sz w:val="24"/>
          <w:szCs w:val="24"/>
        </w:rPr>
        <w:t>)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p>
    <w:p w:rsidR="000E07F6" w:rsidRDefault="00D60FD9">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will inform the Suppliers of the specification for the Electronic Reverse Auction which shall include:</w:t>
      </w:r>
    </w:p>
    <w:p w:rsidR="000E07F6" w:rsidRDefault="00D60FD9">
      <w:pPr>
        <w:widowControl/>
        <w:numPr>
          <w:ilvl w:val="3"/>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information to be provided at auction, which must be expressed in figures or percentages of the specified quantifiable features;</w:t>
      </w:r>
    </w:p>
    <w:p w:rsidR="000E07F6" w:rsidRDefault="00D60FD9">
      <w:pPr>
        <w:widowControl/>
        <w:numPr>
          <w:ilvl w:val="3"/>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mathematical formula to be used to determine automatic ranking of bids on the basis of new prices and/or new values submitted;  </w:t>
      </w:r>
    </w:p>
    <w:p w:rsidR="000E07F6" w:rsidRDefault="00D60FD9">
      <w:pPr>
        <w:widowControl/>
        <w:numPr>
          <w:ilvl w:val="3"/>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any limits on the values which may be submitted;</w:t>
      </w:r>
    </w:p>
    <w:p w:rsidR="000E07F6" w:rsidRDefault="00D60FD9">
      <w:pPr>
        <w:widowControl/>
        <w:numPr>
          <w:ilvl w:val="3"/>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 description of any information which will be made available to Suppliers in the course of the Electronic Reverse Auction, and when it will be made available to them;</w:t>
      </w:r>
    </w:p>
    <w:p w:rsidR="000E07F6" w:rsidRDefault="00D60FD9">
      <w:pPr>
        <w:widowControl/>
        <w:numPr>
          <w:ilvl w:val="3"/>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12" w:name="_heading=h.17dp8vu" w:colFirst="0" w:colLast="0"/>
      <w:bookmarkEnd w:id="12"/>
      <w:r>
        <w:rPr>
          <w:rFonts w:ascii="Arial" w:eastAsia="Arial" w:hAnsi="Arial" w:cs="Arial"/>
          <w:color w:val="000000"/>
          <w:sz w:val="24"/>
          <w:szCs w:val="24"/>
        </w:rPr>
        <w:lastRenderedPageBreak/>
        <w:t>the conditions under which Suppliers will be able to bid and, in particular, the minimum differences which will, where appropriate, be required when bidding;</w:t>
      </w:r>
    </w:p>
    <w:p w:rsidR="000E07F6" w:rsidRDefault="00D60FD9">
      <w:pPr>
        <w:widowControl/>
        <w:numPr>
          <w:ilvl w:val="3"/>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relevant information concerning the electronic equipment used and the arrangements and technical specification for connection;</w:t>
      </w:r>
    </w:p>
    <w:p w:rsidR="000E07F6" w:rsidRDefault="00D60FD9">
      <w:pPr>
        <w:widowControl/>
        <w:numPr>
          <w:ilvl w:val="3"/>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subject to Paragraph 7.4, the date and time of the start of the Electronic Reverse Auction; and</w:t>
      </w:r>
    </w:p>
    <w:p w:rsidR="000E07F6" w:rsidRDefault="00D60FD9">
      <w:pPr>
        <w:widowControl/>
        <w:numPr>
          <w:ilvl w:val="3"/>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details of when and how the Electronic Reverse Auction will close.</w:t>
      </w:r>
    </w:p>
    <w:p w:rsidR="000E07F6" w:rsidRDefault="00D60FD9">
      <w:pPr>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13" w:name="_heading=h.3rdcrjn" w:colFirst="0" w:colLast="0"/>
      <w:bookmarkEnd w:id="13"/>
      <w:r>
        <w:rPr>
          <w:rFonts w:ascii="Arial" w:eastAsia="Arial" w:hAnsi="Arial" w:cs="Arial"/>
          <w:color w:val="000000"/>
          <w:sz w:val="24"/>
          <w:szCs w:val="24"/>
        </w:rPr>
        <w:t>The Electronic Reverse Auction may not start sooner than two (2) Working Days after the date on which the specification for the Electronic Reverse Auction has been issued.</w:t>
      </w:r>
    </w:p>
    <w:p w:rsidR="000E07F6" w:rsidRDefault="00D60FD9">
      <w:pPr>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Throughout each phase of the Electronic Reverse Auction the Buyer will communicate to all Suppliers sufficient information to enable them to ascertain their relative ranking.</w:t>
      </w:r>
    </w:p>
    <w:p w:rsidR="000E07F6" w:rsidRDefault="00D60FD9">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Supplier acknowledges and agrees that:</w:t>
      </w:r>
    </w:p>
    <w:p w:rsidR="000E07F6" w:rsidRDefault="00D60FD9">
      <w:pPr>
        <w:widowControl/>
        <w:numPr>
          <w:ilvl w:val="3"/>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Buyer and its officers, servants, agents, group companies, assignees and customers (including CCS) do not guarantee that its access to the Electronic Reverse Auction will be uninterrupted or error-free;</w:t>
      </w:r>
    </w:p>
    <w:p w:rsidR="000E07F6" w:rsidRDefault="00D60FD9">
      <w:pPr>
        <w:widowControl/>
        <w:numPr>
          <w:ilvl w:val="3"/>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its access to the Electronic Reverse Auction may occasionally be restricted to allow for repairs or maintenance; and</w:t>
      </w:r>
    </w:p>
    <w:p w:rsidR="000E07F6" w:rsidRDefault="00D60FD9">
      <w:pPr>
        <w:widowControl/>
        <w:numPr>
          <w:ilvl w:val="3"/>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it will comply with all such rules that may be imposed by the Buyer in relation to the operation of the Electronic Reverse Auction.</w:t>
      </w:r>
    </w:p>
    <w:p w:rsidR="000E07F6" w:rsidRDefault="00D60FD9">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will close the Electronic Reverse Auction on the basis of:</w:t>
      </w:r>
    </w:p>
    <w:p w:rsidR="000E07F6" w:rsidRDefault="00D60FD9">
      <w:pPr>
        <w:widowControl/>
        <w:numPr>
          <w:ilvl w:val="3"/>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 date and time fixed in advance;</w:t>
      </w:r>
    </w:p>
    <w:p w:rsidR="000E07F6" w:rsidRDefault="00D60FD9">
      <w:pPr>
        <w:widowControl/>
        <w:numPr>
          <w:ilvl w:val="3"/>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when no new prices or values meeting the minimum differences required pursuant to Paragraph 7.3 have been received within the prescribed elapsed time period; or</w:t>
      </w:r>
    </w:p>
    <w:p w:rsidR="000E07F6" w:rsidRDefault="00D60FD9">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when all the phases have been completed.]</w:t>
      </w:r>
    </w:p>
    <w:p w:rsidR="000E07F6" w:rsidRDefault="00D60FD9">
      <w:pPr>
        <w:keepNext/>
        <w:widowControl/>
        <w:numPr>
          <w:ilvl w:val="0"/>
          <w:numId w:val="3"/>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Awarding and creating an Exempt Call-off Contract</w:t>
      </w:r>
    </w:p>
    <w:p w:rsidR="000E07F6" w:rsidRDefault="00D60FD9">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Paragraph 1 above shall not apply to an Exempt Buyer.</w:t>
      </w:r>
    </w:p>
    <w:p w:rsidR="000E07F6" w:rsidRDefault="00D60FD9">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 If a potential Exempt Buyer decides to source Deliverables through this Framework Contract, it will award an Exempt Call-off Contract for Deliverables in accordance with the procedure in this Schedule as modified by this Paragraph 8 and in accordance with any legal requirements applicable to that potential Exempt Buyer.</w:t>
      </w:r>
    </w:p>
    <w:p w:rsidR="000E07F6" w:rsidRDefault="00D60FD9">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potential Exempt Buyer may award an Exempt Call-off Contract under this Framework Contract without holding a further </w:t>
      </w:r>
      <w:r>
        <w:rPr>
          <w:rFonts w:ascii="Arial" w:eastAsia="Arial" w:hAnsi="Arial" w:cs="Arial"/>
          <w:color w:val="000000"/>
          <w:sz w:val="24"/>
          <w:szCs w:val="24"/>
        </w:rPr>
        <w:lastRenderedPageBreak/>
        <w:t>competition in accordance with Paragraph 2 above as modified by Paragraph 8.4 below or through a Further Competition Procedure in accordance with Paragraph 3 as modified by Paragraph 8.5 below.</w:t>
      </w:r>
    </w:p>
    <w:p w:rsidR="000E07F6" w:rsidRDefault="00D60FD9">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Notwithstanding the procedure set out in Paragraph 2 above, if the potential Exempt Buyer can determine that:</w:t>
      </w:r>
    </w:p>
    <w:p w:rsidR="000E07F6" w:rsidRDefault="00D60FD9">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its Deliverables can be met by the Supplier’s catalogues and description of the Deliverables as set out in Framework Schedule 1 (Specification) and Framework Schedule 2 (Framework Tender); and</w:t>
      </w:r>
    </w:p>
    <w:p w:rsidR="000E07F6" w:rsidRDefault="00D60FD9">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Supplier will accept any required Exempt Procurement Amendments,</w:t>
      </w:r>
    </w:p>
    <w:p w:rsidR="000E07F6" w:rsidRDefault="00D60FD9">
      <w:pPr>
        <w:widowControl/>
        <w:pBdr>
          <w:top w:val="nil"/>
          <w:left w:val="nil"/>
          <w:bottom w:val="nil"/>
          <w:right w:val="nil"/>
          <w:between w:val="nil"/>
        </w:pBdr>
        <w:tabs>
          <w:tab w:val="left" w:pos="3641"/>
        </w:tabs>
        <w:spacing w:before="120" w:after="120"/>
        <w:ind w:left="1890"/>
        <w:rPr>
          <w:rFonts w:ascii="Arial" w:eastAsia="Arial" w:hAnsi="Arial" w:cs="Arial"/>
          <w:color w:val="000000"/>
          <w:sz w:val="24"/>
          <w:szCs w:val="24"/>
        </w:rPr>
      </w:pPr>
      <w:r>
        <w:rPr>
          <w:rFonts w:ascii="Arial" w:eastAsia="Arial" w:hAnsi="Arial" w:cs="Arial"/>
          <w:color w:val="000000"/>
          <w:sz w:val="24"/>
          <w:szCs w:val="24"/>
        </w:rPr>
        <w:t>then the Exempt Buyer may award an Exempt Call-off Contract to that Supplier in accordance with Paragraph 6 above.</w:t>
      </w:r>
    </w:p>
    <w:p w:rsidR="000E07F6" w:rsidRDefault="00D60FD9">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If the potential Exempt Buyer requires the Supplier to develop proposals or a solution in respect of Deliverables, then the potential Exempt Buyer may at its discretion use the procedure set out in Paragraph 3 above as modified by this Paragraph 8.5.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rsidR="000E07F6" w:rsidRDefault="00D60FD9">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Paragraphs 8.1 to 8.5 above are without prejudice to an Exempt Buyer’s ability to make such further modifications to the Call-Off Procedure as it considers necessary and in accordance with any legal requirements applicable to that potential Exempt Buyer.</w:t>
      </w:r>
    </w:p>
    <w:p w:rsidR="000E07F6" w:rsidRDefault="00D60FD9">
      <w:pPr>
        <w:rPr>
          <w:rFonts w:ascii="Arial" w:eastAsia="Arial" w:hAnsi="Arial" w:cs="Arial"/>
          <w:sz w:val="24"/>
          <w:szCs w:val="24"/>
        </w:rPr>
      </w:pPr>
      <w:r>
        <w:br w:type="page"/>
      </w:r>
    </w:p>
    <w:p w:rsidR="000E07F6" w:rsidRDefault="000E07F6">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24"/>
          <w:szCs w:val="24"/>
        </w:rPr>
      </w:pPr>
    </w:p>
    <w:p w:rsidR="000E07F6" w:rsidRDefault="00D60FD9">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36"/>
          <w:szCs w:val="36"/>
        </w:rPr>
      </w:pPr>
      <w:r>
        <w:rPr>
          <w:rFonts w:ascii="Arial" w:eastAsia="Arial" w:hAnsi="Arial" w:cs="Arial"/>
          <w:b/>
          <w:color w:val="000000"/>
          <w:sz w:val="36"/>
          <w:szCs w:val="36"/>
        </w:rPr>
        <w:t>Part 2: Award Criteria</w:t>
      </w:r>
    </w:p>
    <w:p w:rsidR="000E07F6" w:rsidRDefault="00D60FD9">
      <w:pPr>
        <w:widowControl/>
        <w:numPr>
          <w:ilvl w:val="0"/>
          <w:numId w:val="5"/>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This Part 2 lays out award criteria for direct award (Annex A) and for further competition (Annex B) in accordance with the Call-Off Procedure.</w:t>
      </w:r>
    </w:p>
    <w:p w:rsidR="000E07F6" w:rsidRDefault="00D60FD9">
      <w:pPr>
        <w:widowControl/>
        <w:numPr>
          <w:ilvl w:val="0"/>
          <w:numId w:val="5"/>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A Call-Off Contract may be awarded on the basis of most economically advantageous tender ("MEAT").</w:t>
      </w:r>
    </w:p>
    <w:p w:rsidR="000E07F6" w:rsidRDefault="00D60FD9">
      <w:pPr>
        <w:rPr>
          <w:rFonts w:ascii="Arial" w:eastAsia="Arial" w:hAnsi="Arial" w:cs="Arial"/>
          <w:b/>
          <w:smallCaps/>
          <w:sz w:val="24"/>
          <w:szCs w:val="24"/>
        </w:rPr>
      </w:pPr>
      <w:r>
        <w:br w:type="page"/>
      </w:r>
    </w:p>
    <w:p w:rsidR="000E07F6" w:rsidRDefault="00D60FD9">
      <w:pPr>
        <w:keepNext/>
        <w:widowControl/>
        <w:pBdr>
          <w:top w:val="nil"/>
          <w:left w:val="nil"/>
          <w:bottom w:val="nil"/>
          <w:right w:val="nil"/>
          <w:between w:val="nil"/>
        </w:pBdr>
        <w:spacing w:before="240" w:after="240"/>
        <w:ind w:firstLine="426"/>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Annex A: Direct award criteria</w:t>
      </w:r>
    </w:p>
    <w:p w:rsidR="000E07F6" w:rsidRDefault="00D60FD9">
      <w:pPr>
        <w:widowControl/>
        <w:pBdr>
          <w:top w:val="nil"/>
          <w:left w:val="nil"/>
          <w:bottom w:val="nil"/>
          <w:right w:val="nil"/>
          <w:between w:val="nil"/>
        </w:pBdr>
        <w:tabs>
          <w:tab w:val="left" w:pos="851"/>
        </w:tabs>
        <w:spacing w:after="240"/>
        <w:jc w:val="both"/>
        <w:rPr>
          <w:rFonts w:ascii="Arial" w:eastAsia="Arial" w:hAnsi="Arial" w:cs="Arial"/>
          <w:color w:val="FFFFFF"/>
          <w:sz w:val="24"/>
          <w:szCs w:val="24"/>
        </w:rPr>
      </w:pPr>
      <w:r>
        <w:rPr>
          <w:rFonts w:ascii="Arial" w:eastAsia="Arial" w:hAnsi="Arial" w:cs="Arial"/>
          <w:color w:val="000000"/>
          <w:sz w:val="24"/>
          <w:szCs w:val="24"/>
        </w:rPr>
        <w:t>The following criteria and weightings may be defined and applied by the Buyer to the evaluation for direct award of each Call-Off.</w:t>
      </w:r>
    </w:p>
    <w:p w:rsidR="000E07F6" w:rsidRDefault="000E07F6">
      <w:pPr>
        <w:widowControl/>
        <w:tabs>
          <w:tab w:val="left" w:pos="851"/>
        </w:tabs>
        <w:spacing w:after="240"/>
        <w:jc w:val="both"/>
        <w:rPr>
          <w:rFonts w:ascii="Arial" w:eastAsia="Arial" w:hAnsi="Arial" w:cs="Arial"/>
          <w:color w:val="FFFFFF"/>
          <w:sz w:val="24"/>
          <w:szCs w:val="24"/>
        </w:rPr>
      </w:pPr>
    </w:p>
    <w:tbl>
      <w:tblPr>
        <w:tblStyle w:val="a7"/>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9"/>
        <w:gridCol w:w="4095"/>
        <w:gridCol w:w="2560"/>
      </w:tblGrid>
      <w:tr w:rsidR="000E07F6">
        <w:trPr>
          <w:trHeight w:val="240"/>
        </w:trPr>
        <w:tc>
          <w:tcPr>
            <w:tcW w:w="2559" w:type="dxa"/>
            <w:shd w:val="clear" w:color="auto" w:fill="E7E6E6"/>
          </w:tcPr>
          <w:p w:rsidR="000E07F6" w:rsidRDefault="00D60FD9">
            <w:pPr>
              <w:keepNext/>
              <w:widowControl/>
              <w:spacing w:before="120" w:after="120"/>
              <w:ind w:left="142"/>
              <w:jc w:val="both"/>
              <w:rPr>
                <w:rFonts w:ascii="Arial" w:eastAsia="Arial" w:hAnsi="Arial" w:cs="Arial"/>
                <w:sz w:val="24"/>
                <w:szCs w:val="24"/>
              </w:rPr>
            </w:pPr>
            <w:r>
              <w:rPr>
                <w:rFonts w:ascii="Arial" w:eastAsia="Arial" w:hAnsi="Arial" w:cs="Arial"/>
                <w:sz w:val="24"/>
                <w:szCs w:val="24"/>
              </w:rPr>
              <w:t xml:space="preserve">Criteria </w:t>
            </w:r>
          </w:p>
        </w:tc>
        <w:tc>
          <w:tcPr>
            <w:tcW w:w="6655" w:type="dxa"/>
            <w:gridSpan w:val="2"/>
            <w:shd w:val="clear" w:color="auto" w:fill="E7E6E6"/>
          </w:tcPr>
          <w:p w:rsidR="000E07F6" w:rsidRDefault="00D60FD9">
            <w:pPr>
              <w:widowControl/>
              <w:spacing w:before="120" w:after="200" w:line="276" w:lineRule="auto"/>
              <w:rPr>
                <w:rFonts w:ascii="Arial" w:eastAsia="Arial" w:hAnsi="Arial" w:cs="Arial"/>
                <w:sz w:val="24"/>
                <w:szCs w:val="24"/>
              </w:rPr>
            </w:pPr>
            <w:r>
              <w:rPr>
                <w:rFonts w:ascii="Arial" w:eastAsia="Arial" w:hAnsi="Arial" w:cs="Arial"/>
                <w:sz w:val="24"/>
                <w:szCs w:val="24"/>
              </w:rPr>
              <w:t xml:space="preserve">Relative weighting percentage </w:t>
            </w:r>
          </w:p>
          <w:p w:rsidR="000E07F6" w:rsidRDefault="00D60FD9">
            <w:pPr>
              <w:widowControl/>
              <w:spacing w:after="200" w:line="276" w:lineRule="auto"/>
              <w:rPr>
                <w:rFonts w:ascii="Arial" w:eastAsia="Arial" w:hAnsi="Arial" w:cs="Arial"/>
                <w:sz w:val="24"/>
                <w:szCs w:val="24"/>
              </w:rPr>
            </w:pPr>
            <w:r>
              <w:rPr>
                <w:rFonts w:ascii="Arial" w:eastAsia="Arial" w:hAnsi="Arial" w:cs="Arial"/>
                <w:sz w:val="24"/>
                <w:szCs w:val="24"/>
              </w:rPr>
              <w:t>[Guidance: where weighting is not possible for objective reasons, list the criteria in decreasing order of importance, amend the column heading to read 'Rank order of importance where 1 = most important, 2 = second most important etc.'. The figure 1 must be in the top row, running down to the least important in the bottom row.]</w:t>
            </w:r>
          </w:p>
        </w:tc>
      </w:tr>
      <w:tr w:rsidR="000E07F6">
        <w:trPr>
          <w:trHeight w:val="240"/>
        </w:trPr>
        <w:tc>
          <w:tcPr>
            <w:tcW w:w="9214" w:type="dxa"/>
            <w:gridSpan w:val="3"/>
          </w:tcPr>
          <w:p w:rsidR="000E07F6" w:rsidRDefault="000E07F6">
            <w:pPr>
              <w:keepNext/>
              <w:widowControl/>
              <w:spacing w:before="240" w:after="120"/>
              <w:ind w:left="862"/>
              <w:jc w:val="both"/>
              <w:rPr>
                <w:rFonts w:ascii="Arial" w:eastAsia="Arial" w:hAnsi="Arial" w:cs="Arial"/>
                <w:sz w:val="24"/>
                <w:szCs w:val="24"/>
              </w:rPr>
            </w:pPr>
          </w:p>
          <w:p w:rsidR="000E07F6" w:rsidRDefault="00D60FD9">
            <w:pPr>
              <w:widowControl/>
              <w:spacing w:before="120" w:after="280" w:line="259" w:lineRule="auto"/>
              <w:ind w:left="896" w:hanging="720"/>
              <w:rPr>
                <w:rFonts w:ascii="Arial" w:eastAsia="Arial" w:hAnsi="Arial" w:cs="Arial"/>
                <w:sz w:val="24"/>
                <w:szCs w:val="24"/>
              </w:rPr>
            </w:pPr>
            <w:r>
              <w:rPr>
                <w:rFonts w:ascii="Arial" w:eastAsia="Arial" w:hAnsi="Arial" w:cs="Arial"/>
                <w:sz w:val="24"/>
                <w:szCs w:val="24"/>
              </w:rPr>
              <w:t>Value for money: e.g. the Buyer believes that the Supplier provides demonstrable value for money, which may include but is not limited to:</w:t>
            </w:r>
          </w:p>
          <w:p w:rsidR="000E07F6" w:rsidRDefault="00D60FD9">
            <w:pPr>
              <w:widowControl/>
              <w:ind w:left="896" w:hanging="360"/>
              <w:rPr>
                <w:rFonts w:ascii="Arial" w:eastAsia="Arial" w:hAnsi="Arial" w:cs="Arial"/>
                <w:sz w:val="24"/>
                <w:szCs w:val="24"/>
              </w:rPr>
            </w:pPr>
            <w:r>
              <w:rPr>
                <w:rFonts w:ascii="Arial" w:eastAsia="Arial" w:hAnsi="Arial" w:cs="Arial"/>
                <w:sz w:val="24"/>
                <w:szCs w:val="24"/>
              </w:rPr>
              <w:t>● Cost effectiveness;</w:t>
            </w:r>
          </w:p>
          <w:p w:rsidR="000E07F6" w:rsidRDefault="00D60FD9">
            <w:pPr>
              <w:widowControl/>
              <w:ind w:left="896" w:hanging="360"/>
              <w:rPr>
                <w:rFonts w:ascii="Arial" w:eastAsia="Arial" w:hAnsi="Arial" w:cs="Arial"/>
                <w:sz w:val="24"/>
                <w:szCs w:val="24"/>
              </w:rPr>
            </w:pPr>
            <w:r>
              <w:rPr>
                <w:rFonts w:ascii="Arial" w:eastAsia="Arial" w:hAnsi="Arial" w:cs="Arial"/>
                <w:sz w:val="24"/>
                <w:szCs w:val="24"/>
              </w:rPr>
              <w:t xml:space="preserve">● Price; </w:t>
            </w:r>
          </w:p>
          <w:p w:rsidR="000E07F6" w:rsidRDefault="00D60FD9">
            <w:pPr>
              <w:widowControl/>
              <w:ind w:left="896" w:hanging="360"/>
              <w:rPr>
                <w:rFonts w:ascii="Arial" w:eastAsia="Arial" w:hAnsi="Arial" w:cs="Arial"/>
                <w:sz w:val="24"/>
                <w:szCs w:val="24"/>
              </w:rPr>
            </w:pPr>
            <w:r>
              <w:rPr>
                <w:rFonts w:ascii="Arial" w:eastAsia="Arial" w:hAnsi="Arial" w:cs="Arial"/>
                <w:sz w:val="24"/>
                <w:szCs w:val="24"/>
              </w:rPr>
              <w:t>● Quality; and</w:t>
            </w:r>
          </w:p>
          <w:p w:rsidR="000E07F6" w:rsidRDefault="00D60FD9">
            <w:pPr>
              <w:widowControl/>
              <w:ind w:left="896" w:hanging="360"/>
              <w:rPr>
                <w:rFonts w:ascii="Arial" w:eastAsia="Arial" w:hAnsi="Arial" w:cs="Arial"/>
                <w:sz w:val="24"/>
                <w:szCs w:val="24"/>
              </w:rPr>
            </w:pPr>
            <w:r>
              <w:rPr>
                <w:rFonts w:ascii="Arial" w:eastAsia="Arial" w:hAnsi="Arial" w:cs="Arial"/>
                <w:sz w:val="24"/>
                <w:szCs w:val="24"/>
              </w:rPr>
              <w:t>● Social Value</w:t>
            </w:r>
          </w:p>
        </w:tc>
      </w:tr>
      <w:tr w:rsidR="000E07F6">
        <w:tc>
          <w:tcPr>
            <w:tcW w:w="6654" w:type="dxa"/>
            <w:gridSpan w:val="2"/>
          </w:tcPr>
          <w:p w:rsidR="000E07F6" w:rsidRDefault="00D60FD9">
            <w:pPr>
              <w:keepNext/>
              <w:widowControl/>
              <w:spacing w:before="240" w:after="120"/>
              <w:ind w:left="862"/>
              <w:jc w:val="both"/>
              <w:rPr>
                <w:rFonts w:ascii="Arial" w:eastAsia="Arial" w:hAnsi="Arial" w:cs="Arial"/>
                <w:sz w:val="24"/>
                <w:szCs w:val="24"/>
              </w:rPr>
            </w:pPr>
            <w:r>
              <w:rPr>
                <w:rFonts w:ascii="Arial" w:eastAsia="Arial" w:hAnsi="Arial" w:cs="Arial"/>
                <w:sz w:val="24"/>
                <w:szCs w:val="24"/>
              </w:rPr>
              <w:t xml:space="preserve">Quality (technical capability etc.) </w:t>
            </w:r>
          </w:p>
        </w:tc>
        <w:tc>
          <w:tcPr>
            <w:tcW w:w="2560" w:type="dxa"/>
          </w:tcPr>
          <w:p w:rsidR="000E07F6" w:rsidRDefault="00D60FD9">
            <w:pPr>
              <w:widowControl/>
              <w:tabs>
                <w:tab w:val="left" w:pos="851"/>
              </w:tabs>
              <w:spacing w:before="240" w:after="120"/>
              <w:jc w:val="center"/>
              <w:rPr>
                <w:rFonts w:ascii="Arial" w:eastAsia="Arial" w:hAnsi="Arial" w:cs="Arial"/>
                <w:sz w:val="24"/>
                <w:szCs w:val="24"/>
              </w:rPr>
            </w:pPr>
            <w:r>
              <w:rPr>
                <w:highlight w:val="yellow"/>
              </w:rPr>
              <w:t>[  ]</w:t>
            </w:r>
            <w:r>
              <w:rPr>
                <w:rFonts w:ascii="Arial" w:eastAsia="Arial" w:hAnsi="Arial" w:cs="Arial"/>
                <w:sz w:val="24"/>
                <w:szCs w:val="24"/>
              </w:rPr>
              <w:t xml:space="preserve">% </w:t>
            </w:r>
          </w:p>
        </w:tc>
      </w:tr>
      <w:tr w:rsidR="000E07F6">
        <w:tc>
          <w:tcPr>
            <w:tcW w:w="6654" w:type="dxa"/>
            <w:gridSpan w:val="2"/>
          </w:tcPr>
          <w:p w:rsidR="000E07F6" w:rsidRDefault="00D60FD9">
            <w:pPr>
              <w:keepNext/>
              <w:widowControl/>
              <w:spacing w:before="240" w:after="120"/>
              <w:ind w:left="862"/>
              <w:jc w:val="both"/>
              <w:rPr>
                <w:rFonts w:ascii="Arial" w:eastAsia="Arial" w:hAnsi="Arial" w:cs="Arial"/>
                <w:sz w:val="24"/>
                <w:szCs w:val="24"/>
              </w:rPr>
            </w:pPr>
            <w:r>
              <w:rPr>
                <w:rFonts w:ascii="Arial" w:eastAsia="Arial" w:hAnsi="Arial" w:cs="Arial"/>
                <w:sz w:val="24"/>
                <w:szCs w:val="24"/>
              </w:rPr>
              <w:t>Social Value</w:t>
            </w:r>
            <w:r>
              <w:rPr>
                <w:rFonts w:ascii="Arial" w:eastAsia="Arial" w:hAnsi="Arial" w:cs="Arial"/>
                <w:sz w:val="24"/>
                <w:szCs w:val="24"/>
                <w:vertAlign w:val="superscript"/>
              </w:rPr>
              <w:footnoteReference w:id="1"/>
            </w:r>
          </w:p>
          <w:p w:rsidR="000E07F6" w:rsidRDefault="00D60FD9">
            <w:pPr>
              <w:keepNext/>
              <w:widowControl/>
              <w:numPr>
                <w:ilvl w:val="0"/>
                <w:numId w:val="7"/>
              </w:numPr>
              <w:spacing w:before="240"/>
              <w:jc w:val="both"/>
              <w:rPr>
                <w:rFonts w:ascii="Arial" w:eastAsia="Arial" w:hAnsi="Arial" w:cs="Arial"/>
                <w:sz w:val="24"/>
                <w:szCs w:val="24"/>
              </w:rPr>
            </w:pPr>
            <w:r>
              <w:rPr>
                <w:rFonts w:ascii="Arial" w:eastAsia="Arial" w:hAnsi="Arial" w:cs="Arial"/>
                <w:sz w:val="24"/>
                <w:szCs w:val="24"/>
              </w:rPr>
              <w:t>Tackling economic inequality</w:t>
            </w:r>
          </w:p>
          <w:p w:rsidR="000E07F6" w:rsidRDefault="00D60FD9">
            <w:pPr>
              <w:keepNext/>
              <w:widowControl/>
              <w:numPr>
                <w:ilvl w:val="0"/>
                <w:numId w:val="7"/>
              </w:numPr>
              <w:jc w:val="both"/>
              <w:rPr>
                <w:rFonts w:ascii="Arial" w:eastAsia="Arial" w:hAnsi="Arial" w:cs="Arial"/>
                <w:sz w:val="24"/>
                <w:szCs w:val="24"/>
              </w:rPr>
            </w:pPr>
            <w:r>
              <w:rPr>
                <w:rFonts w:ascii="Arial" w:eastAsia="Arial" w:hAnsi="Arial" w:cs="Arial"/>
                <w:sz w:val="24"/>
                <w:szCs w:val="24"/>
              </w:rPr>
              <w:t>Fighting climate change</w:t>
            </w:r>
          </w:p>
          <w:p w:rsidR="000E07F6" w:rsidRDefault="00D60FD9">
            <w:pPr>
              <w:keepNext/>
              <w:widowControl/>
              <w:numPr>
                <w:ilvl w:val="0"/>
                <w:numId w:val="7"/>
              </w:numPr>
              <w:jc w:val="both"/>
              <w:rPr>
                <w:rFonts w:ascii="Arial" w:eastAsia="Arial" w:hAnsi="Arial" w:cs="Arial"/>
                <w:sz w:val="24"/>
                <w:szCs w:val="24"/>
              </w:rPr>
            </w:pPr>
            <w:r>
              <w:rPr>
                <w:rFonts w:ascii="Arial" w:eastAsia="Arial" w:hAnsi="Arial" w:cs="Arial"/>
                <w:sz w:val="24"/>
                <w:szCs w:val="24"/>
              </w:rPr>
              <w:t>Equal opportunity</w:t>
            </w:r>
          </w:p>
          <w:p w:rsidR="000E07F6" w:rsidRDefault="00D60FD9">
            <w:pPr>
              <w:keepNext/>
              <w:widowControl/>
              <w:numPr>
                <w:ilvl w:val="0"/>
                <w:numId w:val="7"/>
              </w:numPr>
              <w:jc w:val="both"/>
              <w:rPr>
                <w:rFonts w:ascii="Arial" w:eastAsia="Arial" w:hAnsi="Arial" w:cs="Arial"/>
                <w:sz w:val="24"/>
                <w:szCs w:val="24"/>
              </w:rPr>
            </w:pPr>
            <w:r>
              <w:rPr>
                <w:rFonts w:ascii="Arial" w:eastAsia="Arial" w:hAnsi="Arial" w:cs="Arial"/>
                <w:sz w:val="24"/>
                <w:szCs w:val="24"/>
              </w:rPr>
              <w:t>Wellbeing</w:t>
            </w:r>
          </w:p>
          <w:p w:rsidR="000E07F6" w:rsidRDefault="00D60FD9">
            <w:pPr>
              <w:keepNext/>
              <w:widowControl/>
              <w:numPr>
                <w:ilvl w:val="0"/>
                <w:numId w:val="7"/>
              </w:numPr>
              <w:spacing w:after="120"/>
              <w:jc w:val="both"/>
              <w:rPr>
                <w:rFonts w:ascii="Arial" w:eastAsia="Arial" w:hAnsi="Arial" w:cs="Arial"/>
                <w:sz w:val="24"/>
                <w:szCs w:val="24"/>
              </w:rPr>
            </w:pPr>
            <w:r>
              <w:rPr>
                <w:rFonts w:ascii="Arial" w:eastAsia="Arial" w:hAnsi="Arial" w:cs="Arial"/>
                <w:sz w:val="24"/>
                <w:szCs w:val="24"/>
              </w:rPr>
              <w:t xml:space="preserve">Covid-19 recovery </w:t>
            </w:r>
          </w:p>
        </w:tc>
        <w:tc>
          <w:tcPr>
            <w:tcW w:w="2560" w:type="dxa"/>
          </w:tcPr>
          <w:p w:rsidR="000E07F6" w:rsidRDefault="00D60FD9">
            <w:pPr>
              <w:keepNext/>
              <w:widowControl/>
              <w:spacing w:before="240" w:after="120"/>
              <w:jc w:val="center"/>
              <w:rPr>
                <w:rFonts w:ascii="Arial" w:eastAsia="Arial" w:hAnsi="Arial" w:cs="Arial"/>
                <w:sz w:val="24"/>
                <w:szCs w:val="24"/>
              </w:rPr>
            </w:pPr>
            <w:r>
              <w:rPr>
                <w:rFonts w:ascii="Arial" w:eastAsia="Arial" w:hAnsi="Arial" w:cs="Arial"/>
                <w:sz w:val="24"/>
                <w:szCs w:val="24"/>
                <w:highlight w:val="yellow"/>
              </w:rPr>
              <w:t>[  ]</w:t>
            </w:r>
            <w:r>
              <w:rPr>
                <w:rFonts w:ascii="Arial" w:eastAsia="Arial" w:hAnsi="Arial" w:cs="Arial"/>
                <w:sz w:val="24"/>
                <w:szCs w:val="24"/>
              </w:rPr>
              <w:t>%</w:t>
            </w:r>
          </w:p>
        </w:tc>
      </w:tr>
      <w:tr w:rsidR="000E07F6">
        <w:tc>
          <w:tcPr>
            <w:tcW w:w="6654" w:type="dxa"/>
            <w:gridSpan w:val="2"/>
          </w:tcPr>
          <w:p w:rsidR="000E07F6" w:rsidRDefault="00D60FD9">
            <w:pPr>
              <w:keepNext/>
              <w:widowControl/>
              <w:spacing w:before="240" w:after="120"/>
              <w:ind w:left="862"/>
              <w:jc w:val="both"/>
              <w:rPr>
                <w:rFonts w:ascii="Arial" w:eastAsia="Arial" w:hAnsi="Arial" w:cs="Arial"/>
                <w:sz w:val="24"/>
                <w:szCs w:val="24"/>
              </w:rPr>
            </w:pPr>
            <w:r>
              <w:rPr>
                <w:rFonts w:ascii="Arial" w:eastAsia="Arial" w:hAnsi="Arial" w:cs="Arial"/>
                <w:sz w:val="24"/>
                <w:szCs w:val="24"/>
              </w:rPr>
              <w:t>Price</w:t>
            </w:r>
          </w:p>
        </w:tc>
        <w:tc>
          <w:tcPr>
            <w:tcW w:w="2560" w:type="dxa"/>
          </w:tcPr>
          <w:p w:rsidR="000E07F6" w:rsidRDefault="00D60FD9">
            <w:pPr>
              <w:keepNext/>
              <w:widowControl/>
              <w:spacing w:before="240" w:after="120"/>
              <w:jc w:val="center"/>
              <w:rPr>
                <w:rFonts w:ascii="Arial" w:eastAsia="Arial" w:hAnsi="Arial" w:cs="Arial"/>
                <w:sz w:val="24"/>
                <w:szCs w:val="24"/>
              </w:rPr>
            </w:pPr>
            <w:r>
              <w:rPr>
                <w:rFonts w:ascii="Arial" w:eastAsia="Arial" w:hAnsi="Arial" w:cs="Arial"/>
                <w:sz w:val="24"/>
                <w:szCs w:val="24"/>
                <w:highlight w:val="yellow"/>
              </w:rPr>
              <w:t>[  ]</w:t>
            </w:r>
            <w:r>
              <w:rPr>
                <w:rFonts w:ascii="Arial" w:eastAsia="Arial" w:hAnsi="Arial" w:cs="Arial"/>
                <w:sz w:val="24"/>
                <w:szCs w:val="24"/>
              </w:rPr>
              <w:t xml:space="preserve">% </w:t>
            </w:r>
          </w:p>
        </w:tc>
      </w:tr>
    </w:tbl>
    <w:p w:rsidR="000E07F6" w:rsidRDefault="00D60FD9">
      <w:pPr>
        <w:keepNext/>
        <w:widowControl/>
        <w:pBdr>
          <w:top w:val="nil"/>
          <w:left w:val="nil"/>
          <w:bottom w:val="nil"/>
          <w:right w:val="nil"/>
          <w:between w:val="nil"/>
        </w:pBdr>
        <w:spacing w:before="240" w:after="240"/>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Annex B: Further Competition Award Criteria</w:t>
      </w:r>
    </w:p>
    <w:p w:rsidR="000E07F6" w:rsidRDefault="00D60FD9">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The following criteria and weightings shall apply to the evaluation of tenders received through the Further Competition Procedure:</w:t>
      </w:r>
    </w:p>
    <w:p w:rsidR="000E07F6" w:rsidRDefault="00D60FD9">
      <w:pPr>
        <w:widowControl/>
        <w:pBdr>
          <w:top w:val="nil"/>
          <w:left w:val="nil"/>
          <w:bottom w:val="nil"/>
          <w:right w:val="nil"/>
          <w:between w:val="nil"/>
        </w:pBdr>
        <w:tabs>
          <w:tab w:val="left" w:pos="851"/>
        </w:tabs>
        <w:spacing w:after="240"/>
        <w:jc w:val="both"/>
        <w:rPr>
          <w:rFonts w:ascii="Arial" w:eastAsia="Arial" w:hAnsi="Arial" w:cs="Arial"/>
          <w:b/>
          <w:color w:val="000000"/>
          <w:sz w:val="24"/>
          <w:szCs w:val="24"/>
        </w:rPr>
      </w:pPr>
      <w:r>
        <w:rPr>
          <w:rFonts w:ascii="Arial" w:eastAsia="Arial" w:hAnsi="Arial" w:cs="Arial"/>
          <w:b/>
          <w:color w:val="000000"/>
          <w:sz w:val="24"/>
          <w:szCs w:val="24"/>
        </w:rPr>
        <w:t>Lot 1:</w:t>
      </w:r>
    </w:p>
    <w:tbl>
      <w:tblPr>
        <w:tblStyle w:val="a8"/>
        <w:tblW w:w="8775" w:type="dxa"/>
        <w:tblBorders>
          <w:top w:val="nil"/>
          <w:left w:val="nil"/>
          <w:bottom w:val="nil"/>
          <w:right w:val="nil"/>
          <w:insideH w:val="nil"/>
          <w:insideV w:val="nil"/>
        </w:tblBorders>
        <w:tblLayout w:type="fixed"/>
        <w:tblLook w:val="0600" w:firstRow="0" w:lastRow="0" w:firstColumn="0" w:lastColumn="0" w:noHBand="1" w:noVBand="1"/>
      </w:tblPr>
      <w:tblGrid>
        <w:gridCol w:w="1815"/>
        <w:gridCol w:w="3870"/>
        <w:gridCol w:w="3090"/>
      </w:tblGrid>
      <w:tr w:rsidR="000E07F6">
        <w:trPr>
          <w:trHeight w:val="1608"/>
        </w:trPr>
        <w:tc>
          <w:tcPr>
            <w:tcW w:w="1815" w:type="dxa"/>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tcPr>
          <w:p w:rsidR="000E07F6" w:rsidRDefault="00D60FD9">
            <w:pPr>
              <w:widowControl/>
              <w:tabs>
                <w:tab w:val="left" w:pos="851"/>
              </w:tabs>
              <w:spacing w:before="240"/>
              <w:ind w:left="240"/>
              <w:jc w:val="center"/>
              <w:rPr>
                <w:rFonts w:ascii="Arial" w:eastAsia="Arial" w:hAnsi="Arial" w:cs="Arial"/>
                <w:color w:val="000000"/>
                <w:sz w:val="24"/>
                <w:szCs w:val="24"/>
              </w:rPr>
            </w:pPr>
            <w:r>
              <w:rPr>
                <w:rFonts w:ascii="Arial" w:eastAsia="Arial" w:hAnsi="Arial" w:cs="Arial"/>
                <w:color w:val="000000"/>
                <w:sz w:val="24"/>
                <w:szCs w:val="24"/>
              </w:rPr>
              <w:t>Criteria Number</w:t>
            </w:r>
          </w:p>
        </w:tc>
        <w:tc>
          <w:tcPr>
            <w:tcW w:w="3870" w:type="dxa"/>
            <w:tcBorders>
              <w:top w:val="single" w:sz="8" w:space="0" w:color="000000"/>
              <w:left w:val="nil"/>
              <w:bottom w:val="single" w:sz="8" w:space="0" w:color="000000"/>
              <w:right w:val="single" w:sz="8" w:space="0" w:color="000000"/>
            </w:tcBorders>
            <w:shd w:val="clear" w:color="auto" w:fill="EEECE1"/>
            <w:tcMar>
              <w:top w:w="100" w:type="dxa"/>
              <w:left w:w="100" w:type="dxa"/>
              <w:bottom w:w="100" w:type="dxa"/>
              <w:right w:w="100" w:type="dxa"/>
            </w:tcMar>
          </w:tcPr>
          <w:p w:rsidR="000E07F6" w:rsidRDefault="00D60FD9">
            <w:pPr>
              <w:widowControl/>
              <w:tabs>
                <w:tab w:val="left" w:pos="851"/>
              </w:tabs>
              <w:spacing w:before="120" w:after="120"/>
              <w:jc w:val="both"/>
              <w:rPr>
                <w:rFonts w:ascii="Arial" w:eastAsia="Arial" w:hAnsi="Arial" w:cs="Arial"/>
                <w:color w:val="000000"/>
                <w:sz w:val="24"/>
                <w:szCs w:val="24"/>
              </w:rPr>
            </w:pPr>
            <w:r>
              <w:rPr>
                <w:rFonts w:ascii="Arial" w:eastAsia="Arial" w:hAnsi="Arial" w:cs="Arial"/>
                <w:color w:val="000000"/>
                <w:sz w:val="24"/>
                <w:szCs w:val="24"/>
              </w:rPr>
              <w:t>Percentage Weightings (or rank order of importance where applicable) - to be set by the Customer conducting the Further Competition Procedure</w:t>
            </w:r>
          </w:p>
        </w:tc>
        <w:tc>
          <w:tcPr>
            <w:tcW w:w="3090" w:type="dxa"/>
            <w:tcBorders>
              <w:top w:val="single" w:sz="8" w:space="0" w:color="000000"/>
              <w:left w:val="nil"/>
              <w:bottom w:val="single" w:sz="8" w:space="0" w:color="000000"/>
              <w:right w:val="single" w:sz="8" w:space="0" w:color="000000"/>
            </w:tcBorders>
            <w:shd w:val="clear" w:color="auto" w:fill="EEECE1"/>
            <w:tcMar>
              <w:top w:w="100" w:type="dxa"/>
              <w:left w:w="100" w:type="dxa"/>
              <w:bottom w:w="100" w:type="dxa"/>
              <w:right w:w="100" w:type="dxa"/>
            </w:tcMar>
          </w:tcPr>
          <w:p w:rsidR="000E07F6" w:rsidRDefault="00D60FD9">
            <w:pPr>
              <w:widowControl/>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 xml:space="preserve">Allowable Variance </w:t>
            </w:r>
          </w:p>
          <w:p w:rsidR="000E07F6" w:rsidRDefault="00D60FD9">
            <w:pPr>
              <w:widowControl/>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 xml:space="preserve">(This may be modified by the Customer within the range below) </w:t>
            </w:r>
          </w:p>
        </w:tc>
      </w:tr>
      <w:tr w:rsidR="000E07F6">
        <w:trPr>
          <w:trHeight w:val="635"/>
        </w:trPr>
        <w:tc>
          <w:tcPr>
            <w:tcW w:w="5685" w:type="dxa"/>
            <w:gridSpan w:val="2"/>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E07F6" w:rsidRDefault="00D60FD9">
            <w:pPr>
              <w:widowControl/>
              <w:tabs>
                <w:tab w:val="left" w:pos="851"/>
              </w:tabs>
              <w:spacing w:before="240" w:after="120"/>
              <w:ind w:left="240"/>
              <w:rPr>
                <w:rFonts w:ascii="Arial" w:eastAsia="Arial" w:hAnsi="Arial" w:cs="Arial"/>
                <w:color w:val="000000"/>
                <w:sz w:val="24"/>
                <w:szCs w:val="24"/>
              </w:rPr>
            </w:pPr>
            <w:r>
              <w:rPr>
                <w:rFonts w:ascii="Arial" w:eastAsia="Arial" w:hAnsi="Arial" w:cs="Arial"/>
                <w:b/>
                <w:color w:val="000000"/>
                <w:sz w:val="24"/>
                <w:szCs w:val="24"/>
              </w:rPr>
              <w:t>Quality</w:t>
            </w:r>
          </w:p>
        </w:tc>
        <w:tc>
          <w:tcPr>
            <w:tcW w:w="3090" w:type="dxa"/>
            <w:vMerge w:val="restart"/>
            <w:tcBorders>
              <w:top w:val="nil"/>
              <w:left w:val="nil"/>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before="240" w:after="120"/>
              <w:ind w:left="240"/>
              <w:jc w:val="both"/>
              <w:rPr>
                <w:rFonts w:ascii="Arial" w:eastAsia="Arial" w:hAnsi="Arial" w:cs="Arial"/>
                <w:color w:val="000000"/>
                <w:sz w:val="24"/>
                <w:szCs w:val="24"/>
              </w:rPr>
            </w:pPr>
            <w:r>
              <w:rPr>
                <w:rFonts w:ascii="Arial" w:eastAsia="Arial" w:hAnsi="Arial" w:cs="Arial"/>
                <w:color w:val="000000"/>
                <w:sz w:val="24"/>
                <w:szCs w:val="24"/>
              </w:rPr>
              <w:t>Min 40%</w:t>
            </w:r>
          </w:p>
          <w:p w:rsidR="000E07F6" w:rsidRDefault="00D60FD9">
            <w:pPr>
              <w:widowControl/>
              <w:tabs>
                <w:tab w:val="left" w:pos="851"/>
              </w:tabs>
              <w:spacing w:before="240" w:after="120"/>
              <w:ind w:left="240"/>
              <w:jc w:val="both"/>
              <w:rPr>
                <w:rFonts w:ascii="Arial" w:eastAsia="Arial" w:hAnsi="Arial" w:cs="Arial"/>
                <w:color w:val="000000"/>
                <w:sz w:val="24"/>
                <w:szCs w:val="24"/>
              </w:rPr>
            </w:pPr>
            <w:r>
              <w:rPr>
                <w:rFonts w:ascii="Arial" w:eastAsia="Arial" w:hAnsi="Arial" w:cs="Arial"/>
                <w:color w:val="000000"/>
                <w:sz w:val="24"/>
                <w:szCs w:val="24"/>
              </w:rPr>
              <w:t>Max 80%</w:t>
            </w:r>
          </w:p>
          <w:p w:rsidR="000E07F6" w:rsidRDefault="000E07F6">
            <w:pPr>
              <w:widowControl/>
              <w:tabs>
                <w:tab w:val="left" w:pos="851"/>
              </w:tabs>
              <w:jc w:val="both"/>
              <w:rPr>
                <w:rFonts w:ascii="Arial" w:eastAsia="Arial" w:hAnsi="Arial" w:cs="Arial"/>
                <w:color w:val="000000"/>
                <w:sz w:val="24"/>
                <w:szCs w:val="24"/>
              </w:rPr>
            </w:pPr>
          </w:p>
          <w:p w:rsidR="000E07F6" w:rsidRDefault="000E07F6">
            <w:pPr>
              <w:widowControl/>
              <w:tabs>
                <w:tab w:val="left" w:pos="851"/>
              </w:tabs>
              <w:jc w:val="both"/>
              <w:rPr>
                <w:rFonts w:ascii="Arial" w:eastAsia="Arial" w:hAnsi="Arial" w:cs="Arial"/>
                <w:color w:val="000000"/>
                <w:sz w:val="24"/>
                <w:szCs w:val="24"/>
              </w:rPr>
            </w:pPr>
          </w:p>
          <w:p w:rsidR="000E07F6" w:rsidRDefault="000E07F6">
            <w:pPr>
              <w:widowControl/>
              <w:tabs>
                <w:tab w:val="left" w:pos="851"/>
              </w:tabs>
              <w:jc w:val="both"/>
              <w:rPr>
                <w:rFonts w:ascii="Arial" w:eastAsia="Arial" w:hAnsi="Arial" w:cs="Arial"/>
                <w:color w:val="000000"/>
                <w:sz w:val="24"/>
                <w:szCs w:val="24"/>
              </w:rPr>
            </w:pPr>
          </w:p>
          <w:p w:rsidR="000E07F6" w:rsidRDefault="000E07F6">
            <w:pPr>
              <w:widowControl/>
              <w:tabs>
                <w:tab w:val="left" w:pos="851"/>
              </w:tabs>
              <w:jc w:val="both"/>
              <w:rPr>
                <w:rFonts w:ascii="Arial" w:eastAsia="Arial" w:hAnsi="Arial" w:cs="Arial"/>
                <w:color w:val="000000"/>
                <w:sz w:val="24"/>
                <w:szCs w:val="24"/>
              </w:rPr>
            </w:pPr>
          </w:p>
          <w:p w:rsidR="000E07F6" w:rsidRDefault="00D60FD9">
            <w:pPr>
              <w:widowControl/>
              <w:tabs>
                <w:tab w:val="left" w:pos="851"/>
              </w:tabs>
              <w:jc w:val="both"/>
              <w:rPr>
                <w:rFonts w:ascii="Arial" w:eastAsia="Arial" w:hAnsi="Arial" w:cs="Arial"/>
                <w:color w:val="000000"/>
                <w:sz w:val="24"/>
                <w:szCs w:val="24"/>
              </w:rPr>
            </w:pPr>
            <w:r>
              <w:t xml:space="preserve">     </w:t>
            </w:r>
          </w:p>
        </w:tc>
      </w:tr>
      <w:tr w:rsidR="000E07F6">
        <w:trPr>
          <w:trHeight w:val="592"/>
        </w:trPr>
        <w:tc>
          <w:tcPr>
            <w:tcW w:w="181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before="240" w:after="120"/>
              <w:ind w:left="240"/>
              <w:rPr>
                <w:rFonts w:ascii="Arial" w:eastAsia="Arial" w:hAnsi="Arial" w:cs="Arial"/>
                <w:color w:val="000000"/>
                <w:sz w:val="24"/>
                <w:szCs w:val="24"/>
              </w:rPr>
            </w:pPr>
            <w:r>
              <w:rPr>
                <w:rFonts w:ascii="Arial" w:eastAsia="Arial" w:hAnsi="Arial" w:cs="Arial"/>
                <w:color w:val="000000"/>
                <w:sz w:val="24"/>
                <w:szCs w:val="24"/>
              </w:rPr>
              <w:t>A</w:t>
            </w:r>
          </w:p>
        </w:tc>
        <w:tc>
          <w:tcPr>
            <w:tcW w:w="38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before="240" w:after="120"/>
              <w:ind w:left="240"/>
              <w:rPr>
                <w:rFonts w:ascii="Arial" w:eastAsia="Arial" w:hAnsi="Arial" w:cs="Arial"/>
                <w:color w:val="000000"/>
                <w:sz w:val="24"/>
                <w:szCs w:val="24"/>
              </w:rPr>
            </w:pPr>
            <w:r>
              <w:rPr>
                <w:rFonts w:ascii="Arial" w:eastAsia="Arial" w:hAnsi="Arial" w:cs="Arial"/>
                <w:color w:val="000000"/>
                <w:sz w:val="24"/>
                <w:szCs w:val="24"/>
              </w:rPr>
              <w:t>Technical capability</w:t>
            </w:r>
          </w:p>
        </w:tc>
        <w:tc>
          <w:tcPr>
            <w:tcW w:w="3090" w:type="dxa"/>
            <w:vMerge/>
            <w:tcBorders>
              <w:top w:val="nil"/>
              <w:left w:val="nil"/>
              <w:right w:val="single" w:sz="8" w:space="0" w:color="000000"/>
            </w:tcBorders>
            <w:shd w:val="clear" w:color="auto" w:fill="auto"/>
            <w:tcMar>
              <w:top w:w="100" w:type="dxa"/>
              <w:left w:w="100" w:type="dxa"/>
              <w:bottom w:w="100" w:type="dxa"/>
              <w:right w:w="100" w:type="dxa"/>
            </w:tcMar>
          </w:tcPr>
          <w:p w:rsidR="000E07F6" w:rsidRDefault="000E07F6">
            <w:pPr>
              <w:pBdr>
                <w:top w:val="nil"/>
                <w:left w:val="nil"/>
                <w:bottom w:val="nil"/>
                <w:right w:val="nil"/>
                <w:between w:val="nil"/>
              </w:pBdr>
              <w:spacing w:line="276" w:lineRule="auto"/>
              <w:rPr>
                <w:rFonts w:ascii="Arial" w:eastAsia="Arial" w:hAnsi="Arial" w:cs="Arial"/>
                <w:color w:val="000000"/>
                <w:sz w:val="24"/>
                <w:szCs w:val="24"/>
              </w:rPr>
            </w:pPr>
          </w:p>
        </w:tc>
      </w:tr>
      <w:tr w:rsidR="000E07F6">
        <w:trPr>
          <w:trHeight w:val="618"/>
        </w:trPr>
        <w:tc>
          <w:tcPr>
            <w:tcW w:w="181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before="240" w:after="120"/>
              <w:ind w:left="240"/>
              <w:rPr>
                <w:rFonts w:ascii="Arial" w:eastAsia="Arial" w:hAnsi="Arial" w:cs="Arial"/>
                <w:color w:val="000000"/>
                <w:sz w:val="24"/>
                <w:szCs w:val="24"/>
              </w:rPr>
            </w:pPr>
            <w:r>
              <w:rPr>
                <w:rFonts w:ascii="Arial" w:eastAsia="Arial" w:hAnsi="Arial" w:cs="Arial"/>
                <w:color w:val="000000"/>
                <w:sz w:val="24"/>
                <w:szCs w:val="24"/>
              </w:rPr>
              <w:t>B</w:t>
            </w:r>
          </w:p>
        </w:tc>
        <w:tc>
          <w:tcPr>
            <w:tcW w:w="38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before="240" w:after="120"/>
              <w:ind w:left="240"/>
              <w:rPr>
                <w:rFonts w:ascii="Arial" w:eastAsia="Arial" w:hAnsi="Arial" w:cs="Arial"/>
                <w:color w:val="000000"/>
                <w:sz w:val="24"/>
                <w:szCs w:val="24"/>
              </w:rPr>
            </w:pPr>
            <w:r>
              <w:rPr>
                <w:rFonts w:ascii="Arial" w:eastAsia="Arial" w:hAnsi="Arial" w:cs="Arial"/>
                <w:color w:val="000000"/>
                <w:sz w:val="24"/>
                <w:szCs w:val="24"/>
              </w:rPr>
              <w:t>Contract Management</w:t>
            </w:r>
          </w:p>
        </w:tc>
        <w:tc>
          <w:tcPr>
            <w:tcW w:w="3090" w:type="dxa"/>
            <w:vMerge/>
            <w:tcBorders>
              <w:top w:val="nil"/>
              <w:left w:val="nil"/>
              <w:right w:val="single" w:sz="8" w:space="0" w:color="000000"/>
            </w:tcBorders>
            <w:shd w:val="clear" w:color="auto" w:fill="auto"/>
            <w:tcMar>
              <w:top w:w="100" w:type="dxa"/>
              <w:left w:w="100" w:type="dxa"/>
              <w:bottom w:w="100" w:type="dxa"/>
              <w:right w:w="100" w:type="dxa"/>
            </w:tcMar>
          </w:tcPr>
          <w:p w:rsidR="000E07F6" w:rsidRDefault="000E07F6">
            <w:pPr>
              <w:pBdr>
                <w:top w:val="nil"/>
                <w:left w:val="nil"/>
                <w:bottom w:val="nil"/>
                <w:right w:val="nil"/>
                <w:between w:val="nil"/>
              </w:pBdr>
              <w:spacing w:line="276" w:lineRule="auto"/>
              <w:rPr>
                <w:rFonts w:ascii="Arial" w:eastAsia="Arial" w:hAnsi="Arial" w:cs="Arial"/>
                <w:color w:val="000000"/>
                <w:sz w:val="24"/>
                <w:szCs w:val="24"/>
              </w:rPr>
            </w:pPr>
          </w:p>
        </w:tc>
      </w:tr>
      <w:tr w:rsidR="000E07F6">
        <w:trPr>
          <w:trHeight w:val="815"/>
        </w:trPr>
        <w:tc>
          <w:tcPr>
            <w:tcW w:w="181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before="240" w:after="120"/>
              <w:ind w:left="240"/>
              <w:rPr>
                <w:rFonts w:ascii="Arial" w:eastAsia="Arial" w:hAnsi="Arial" w:cs="Arial"/>
                <w:color w:val="000000"/>
                <w:sz w:val="24"/>
                <w:szCs w:val="24"/>
              </w:rPr>
            </w:pPr>
            <w:r>
              <w:rPr>
                <w:rFonts w:ascii="Arial" w:eastAsia="Arial" w:hAnsi="Arial" w:cs="Arial"/>
                <w:color w:val="000000"/>
                <w:sz w:val="24"/>
                <w:szCs w:val="24"/>
              </w:rPr>
              <w:t>C</w:t>
            </w:r>
          </w:p>
        </w:tc>
        <w:tc>
          <w:tcPr>
            <w:tcW w:w="38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before="240" w:after="120"/>
              <w:ind w:left="240"/>
              <w:rPr>
                <w:rFonts w:ascii="Arial" w:eastAsia="Arial" w:hAnsi="Arial" w:cs="Arial"/>
                <w:color w:val="000000"/>
                <w:sz w:val="24"/>
                <w:szCs w:val="24"/>
              </w:rPr>
            </w:pPr>
            <w:r>
              <w:rPr>
                <w:rFonts w:ascii="Arial" w:eastAsia="Arial" w:hAnsi="Arial" w:cs="Arial"/>
                <w:color w:val="000000"/>
                <w:sz w:val="24"/>
                <w:szCs w:val="24"/>
              </w:rPr>
              <w:t>Implementation</w:t>
            </w:r>
          </w:p>
          <w:p w:rsidR="000E07F6" w:rsidRDefault="00D60FD9">
            <w:pPr>
              <w:widowControl/>
              <w:numPr>
                <w:ilvl w:val="0"/>
                <w:numId w:val="1"/>
              </w:numPr>
              <w:pBdr>
                <w:top w:val="nil"/>
                <w:left w:val="nil"/>
                <w:bottom w:val="nil"/>
                <w:right w:val="nil"/>
                <w:between w:val="nil"/>
              </w:pBdr>
              <w:tabs>
                <w:tab w:val="left" w:pos="851"/>
              </w:tabs>
              <w:spacing w:before="240"/>
              <w:rPr>
                <w:rFonts w:ascii="Arial" w:eastAsia="Arial" w:hAnsi="Arial" w:cs="Arial"/>
                <w:color w:val="000000"/>
                <w:sz w:val="24"/>
                <w:szCs w:val="24"/>
              </w:rPr>
            </w:pPr>
            <w:r>
              <w:rPr>
                <w:rFonts w:ascii="Arial" w:eastAsia="Arial" w:hAnsi="Arial" w:cs="Arial"/>
                <w:color w:val="000000"/>
                <w:sz w:val="24"/>
                <w:szCs w:val="24"/>
              </w:rPr>
              <w:t>Service Delivery</w:t>
            </w:r>
          </w:p>
          <w:p w:rsidR="000E07F6" w:rsidRDefault="00D60FD9">
            <w:pPr>
              <w:widowControl/>
              <w:numPr>
                <w:ilvl w:val="0"/>
                <w:numId w:val="1"/>
              </w:numPr>
              <w:pBdr>
                <w:top w:val="nil"/>
                <w:left w:val="nil"/>
                <w:bottom w:val="nil"/>
                <w:right w:val="nil"/>
                <w:between w:val="nil"/>
              </w:pBdr>
              <w:tabs>
                <w:tab w:val="left" w:pos="851"/>
              </w:tabs>
              <w:spacing w:after="120"/>
              <w:rPr>
                <w:rFonts w:ascii="Arial" w:eastAsia="Arial" w:hAnsi="Arial" w:cs="Arial"/>
                <w:color w:val="000000"/>
                <w:sz w:val="24"/>
                <w:szCs w:val="24"/>
              </w:rPr>
            </w:pPr>
            <w:r>
              <w:rPr>
                <w:rFonts w:ascii="Arial" w:eastAsia="Arial" w:hAnsi="Arial" w:cs="Arial"/>
                <w:color w:val="000000"/>
                <w:sz w:val="24"/>
                <w:szCs w:val="24"/>
              </w:rPr>
              <w:t>Customer Journey</w:t>
            </w:r>
          </w:p>
        </w:tc>
        <w:tc>
          <w:tcPr>
            <w:tcW w:w="3090" w:type="dxa"/>
            <w:vMerge/>
            <w:tcBorders>
              <w:top w:val="nil"/>
              <w:left w:val="nil"/>
              <w:right w:val="single" w:sz="8" w:space="0" w:color="000000"/>
            </w:tcBorders>
            <w:shd w:val="clear" w:color="auto" w:fill="auto"/>
            <w:tcMar>
              <w:top w:w="100" w:type="dxa"/>
              <w:left w:w="100" w:type="dxa"/>
              <w:bottom w:w="100" w:type="dxa"/>
              <w:right w:w="100" w:type="dxa"/>
            </w:tcMar>
          </w:tcPr>
          <w:p w:rsidR="000E07F6" w:rsidRDefault="000E07F6">
            <w:pPr>
              <w:pBdr>
                <w:top w:val="nil"/>
                <w:left w:val="nil"/>
                <w:bottom w:val="nil"/>
                <w:right w:val="nil"/>
                <w:between w:val="nil"/>
              </w:pBdr>
              <w:spacing w:line="276" w:lineRule="auto"/>
              <w:rPr>
                <w:rFonts w:ascii="Arial" w:eastAsia="Arial" w:hAnsi="Arial" w:cs="Arial"/>
                <w:color w:val="000000"/>
                <w:sz w:val="24"/>
                <w:szCs w:val="24"/>
              </w:rPr>
            </w:pPr>
          </w:p>
        </w:tc>
      </w:tr>
      <w:tr w:rsidR="000E07F6">
        <w:trPr>
          <w:trHeight w:val="815"/>
        </w:trPr>
        <w:tc>
          <w:tcPr>
            <w:tcW w:w="181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before="240" w:after="120"/>
              <w:ind w:left="240"/>
              <w:rPr>
                <w:rFonts w:ascii="Arial" w:eastAsia="Arial" w:hAnsi="Arial" w:cs="Arial"/>
                <w:color w:val="000000"/>
                <w:sz w:val="24"/>
                <w:szCs w:val="24"/>
              </w:rPr>
            </w:pPr>
            <w:r>
              <w:rPr>
                <w:rFonts w:ascii="Arial" w:eastAsia="Arial" w:hAnsi="Arial" w:cs="Arial"/>
                <w:color w:val="000000"/>
                <w:sz w:val="24"/>
                <w:szCs w:val="24"/>
              </w:rPr>
              <w:t>D</w:t>
            </w:r>
          </w:p>
        </w:tc>
        <w:tc>
          <w:tcPr>
            <w:tcW w:w="38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before="240" w:after="120"/>
              <w:ind w:left="240"/>
              <w:rPr>
                <w:rFonts w:ascii="Arial" w:eastAsia="Arial" w:hAnsi="Arial" w:cs="Arial"/>
                <w:color w:val="000000"/>
                <w:sz w:val="24"/>
                <w:szCs w:val="24"/>
              </w:rPr>
            </w:pPr>
            <w:r>
              <w:rPr>
                <w:rFonts w:ascii="Arial" w:eastAsia="Arial" w:hAnsi="Arial" w:cs="Arial"/>
                <w:color w:val="000000"/>
                <w:sz w:val="24"/>
                <w:szCs w:val="24"/>
              </w:rPr>
              <w:t>Optimisation</w:t>
            </w:r>
          </w:p>
          <w:p w:rsidR="000E07F6" w:rsidRDefault="00D60FD9">
            <w:pPr>
              <w:widowControl/>
              <w:numPr>
                <w:ilvl w:val="0"/>
                <w:numId w:val="2"/>
              </w:numPr>
              <w:pBdr>
                <w:top w:val="nil"/>
                <w:left w:val="nil"/>
                <w:bottom w:val="nil"/>
                <w:right w:val="nil"/>
                <w:between w:val="nil"/>
              </w:pBdr>
              <w:tabs>
                <w:tab w:val="left" w:pos="851"/>
              </w:tabs>
              <w:spacing w:before="240"/>
              <w:rPr>
                <w:rFonts w:ascii="Arial" w:eastAsia="Arial" w:hAnsi="Arial" w:cs="Arial"/>
                <w:color w:val="000000"/>
                <w:sz w:val="24"/>
                <w:szCs w:val="24"/>
              </w:rPr>
            </w:pPr>
            <w:r>
              <w:rPr>
                <w:rFonts w:ascii="Arial" w:eastAsia="Arial" w:hAnsi="Arial" w:cs="Arial"/>
                <w:color w:val="000000"/>
                <w:sz w:val="24"/>
                <w:szCs w:val="24"/>
              </w:rPr>
              <w:t>Cost Effectiveness</w:t>
            </w:r>
          </w:p>
          <w:p w:rsidR="000E07F6" w:rsidRDefault="00D60FD9">
            <w:pPr>
              <w:widowControl/>
              <w:numPr>
                <w:ilvl w:val="0"/>
                <w:numId w:val="2"/>
              </w:numPr>
              <w:pBdr>
                <w:top w:val="nil"/>
                <w:left w:val="nil"/>
                <w:bottom w:val="nil"/>
                <w:right w:val="nil"/>
                <w:between w:val="nil"/>
              </w:pBdr>
              <w:tabs>
                <w:tab w:val="left" w:pos="851"/>
              </w:tabs>
              <w:spacing w:after="120"/>
              <w:rPr>
                <w:rFonts w:ascii="Arial" w:eastAsia="Arial" w:hAnsi="Arial" w:cs="Arial"/>
                <w:color w:val="000000"/>
                <w:sz w:val="24"/>
                <w:szCs w:val="24"/>
              </w:rPr>
            </w:pPr>
            <w:r>
              <w:rPr>
                <w:rFonts w:ascii="Arial" w:eastAsia="Arial" w:hAnsi="Arial" w:cs="Arial"/>
                <w:color w:val="000000"/>
                <w:sz w:val="24"/>
                <w:szCs w:val="24"/>
              </w:rPr>
              <w:t>Innovation</w:t>
            </w:r>
          </w:p>
        </w:tc>
        <w:tc>
          <w:tcPr>
            <w:tcW w:w="3090" w:type="dxa"/>
            <w:vMerge/>
            <w:tcBorders>
              <w:top w:val="nil"/>
              <w:left w:val="nil"/>
              <w:right w:val="single" w:sz="8" w:space="0" w:color="000000"/>
            </w:tcBorders>
            <w:shd w:val="clear" w:color="auto" w:fill="auto"/>
            <w:tcMar>
              <w:top w:w="100" w:type="dxa"/>
              <w:left w:w="100" w:type="dxa"/>
              <w:bottom w:w="100" w:type="dxa"/>
              <w:right w:w="100" w:type="dxa"/>
            </w:tcMar>
          </w:tcPr>
          <w:p w:rsidR="000E07F6" w:rsidRDefault="000E07F6">
            <w:pPr>
              <w:pBdr>
                <w:top w:val="nil"/>
                <w:left w:val="nil"/>
                <w:bottom w:val="nil"/>
                <w:right w:val="nil"/>
                <w:between w:val="nil"/>
              </w:pBdr>
              <w:spacing w:line="276" w:lineRule="auto"/>
              <w:rPr>
                <w:rFonts w:ascii="Arial" w:eastAsia="Arial" w:hAnsi="Arial" w:cs="Arial"/>
                <w:color w:val="000000"/>
                <w:sz w:val="24"/>
                <w:szCs w:val="24"/>
              </w:rPr>
            </w:pPr>
          </w:p>
        </w:tc>
      </w:tr>
      <w:tr w:rsidR="000E07F6">
        <w:trPr>
          <w:trHeight w:val="634"/>
        </w:trPr>
        <w:tc>
          <w:tcPr>
            <w:tcW w:w="181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before="240" w:after="120"/>
              <w:ind w:left="240"/>
              <w:rPr>
                <w:rFonts w:ascii="Arial" w:eastAsia="Arial" w:hAnsi="Arial" w:cs="Arial"/>
                <w:color w:val="000000"/>
                <w:sz w:val="24"/>
                <w:szCs w:val="24"/>
              </w:rPr>
            </w:pPr>
            <w:r>
              <w:rPr>
                <w:rFonts w:ascii="Arial" w:eastAsia="Arial" w:hAnsi="Arial" w:cs="Arial"/>
                <w:color w:val="000000"/>
                <w:sz w:val="24"/>
                <w:szCs w:val="24"/>
              </w:rPr>
              <w:t>E</w:t>
            </w:r>
          </w:p>
        </w:tc>
        <w:tc>
          <w:tcPr>
            <w:tcW w:w="38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before="240" w:after="120"/>
              <w:ind w:left="240"/>
              <w:rPr>
                <w:rFonts w:ascii="Arial" w:eastAsia="Arial" w:hAnsi="Arial" w:cs="Arial"/>
                <w:color w:val="000000"/>
                <w:sz w:val="24"/>
                <w:szCs w:val="24"/>
              </w:rPr>
            </w:pPr>
            <w:r>
              <w:rPr>
                <w:rFonts w:ascii="Arial" w:eastAsia="Arial" w:hAnsi="Arial" w:cs="Arial"/>
                <w:color w:val="000000"/>
                <w:sz w:val="24"/>
                <w:szCs w:val="24"/>
              </w:rPr>
              <w:t>Localisation</w:t>
            </w:r>
          </w:p>
        </w:tc>
        <w:tc>
          <w:tcPr>
            <w:tcW w:w="3090" w:type="dxa"/>
            <w:vMerge/>
            <w:tcBorders>
              <w:top w:val="nil"/>
              <w:left w:val="nil"/>
              <w:right w:val="single" w:sz="8" w:space="0" w:color="000000"/>
            </w:tcBorders>
            <w:shd w:val="clear" w:color="auto" w:fill="auto"/>
            <w:tcMar>
              <w:top w:w="100" w:type="dxa"/>
              <w:left w:w="100" w:type="dxa"/>
              <w:bottom w:w="100" w:type="dxa"/>
              <w:right w:w="100" w:type="dxa"/>
            </w:tcMar>
          </w:tcPr>
          <w:p w:rsidR="000E07F6" w:rsidRDefault="000E07F6">
            <w:pPr>
              <w:pBdr>
                <w:top w:val="nil"/>
                <w:left w:val="nil"/>
                <w:bottom w:val="nil"/>
                <w:right w:val="nil"/>
                <w:between w:val="nil"/>
              </w:pBdr>
              <w:spacing w:line="276" w:lineRule="auto"/>
              <w:rPr>
                <w:rFonts w:ascii="Arial" w:eastAsia="Arial" w:hAnsi="Arial" w:cs="Arial"/>
                <w:color w:val="000000"/>
                <w:sz w:val="24"/>
                <w:szCs w:val="24"/>
              </w:rPr>
            </w:pPr>
          </w:p>
        </w:tc>
      </w:tr>
      <w:tr w:rsidR="000E07F6">
        <w:trPr>
          <w:trHeight w:val="815"/>
        </w:trPr>
        <w:tc>
          <w:tcPr>
            <w:tcW w:w="5685" w:type="dxa"/>
            <w:gridSpan w:val="2"/>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before="240" w:after="120"/>
              <w:ind w:left="240"/>
              <w:rPr>
                <w:rFonts w:ascii="Arial" w:eastAsia="Arial" w:hAnsi="Arial" w:cs="Arial"/>
                <w:b/>
                <w:color w:val="000000"/>
                <w:sz w:val="24"/>
                <w:szCs w:val="24"/>
              </w:rPr>
            </w:pPr>
            <w:r>
              <w:rPr>
                <w:rFonts w:ascii="Arial" w:eastAsia="Arial" w:hAnsi="Arial" w:cs="Arial"/>
                <w:b/>
                <w:color w:val="000000"/>
                <w:sz w:val="24"/>
                <w:szCs w:val="24"/>
              </w:rPr>
              <w:t xml:space="preserve">Social Value </w:t>
            </w:r>
            <w:r>
              <w:rPr>
                <w:rFonts w:ascii="Arial" w:eastAsia="Arial" w:hAnsi="Arial" w:cs="Arial"/>
                <w:b/>
                <w:color w:val="000000"/>
                <w:sz w:val="24"/>
                <w:szCs w:val="24"/>
                <w:vertAlign w:val="superscript"/>
              </w:rPr>
              <w:footnoteReference w:id="2"/>
            </w:r>
          </w:p>
          <w:p w:rsidR="000E07F6" w:rsidRDefault="00D60FD9">
            <w:pPr>
              <w:keepNext/>
              <w:widowControl/>
              <w:numPr>
                <w:ilvl w:val="0"/>
                <w:numId w:val="6"/>
              </w:numPr>
              <w:spacing w:before="240"/>
              <w:jc w:val="both"/>
              <w:rPr>
                <w:rFonts w:ascii="Arial" w:eastAsia="Arial" w:hAnsi="Arial" w:cs="Arial"/>
                <w:sz w:val="24"/>
                <w:szCs w:val="24"/>
              </w:rPr>
            </w:pPr>
            <w:r>
              <w:rPr>
                <w:rFonts w:ascii="Arial" w:eastAsia="Arial" w:hAnsi="Arial" w:cs="Arial"/>
                <w:sz w:val="24"/>
                <w:szCs w:val="24"/>
              </w:rPr>
              <w:t>Tackling economic inequality</w:t>
            </w:r>
          </w:p>
          <w:p w:rsidR="000E07F6" w:rsidRDefault="00D60FD9">
            <w:pPr>
              <w:keepNext/>
              <w:widowControl/>
              <w:numPr>
                <w:ilvl w:val="0"/>
                <w:numId w:val="6"/>
              </w:numPr>
              <w:jc w:val="both"/>
              <w:rPr>
                <w:rFonts w:ascii="Arial" w:eastAsia="Arial" w:hAnsi="Arial" w:cs="Arial"/>
                <w:sz w:val="24"/>
                <w:szCs w:val="24"/>
              </w:rPr>
            </w:pPr>
            <w:r>
              <w:rPr>
                <w:rFonts w:ascii="Arial" w:eastAsia="Arial" w:hAnsi="Arial" w:cs="Arial"/>
                <w:sz w:val="24"/>
                <w:szCs w:val="24"/>
              </w:rPr>
              <w:t>Fighting climate change</w:t>
            </w:r>
          </w:p>
          <w:p w:rsidR="000E07F6" w:rsidRDefault="00D60FD9">
            <w:pPr>
              <w:keepNext/>
              <w:widowControl/>
              <w:numPr>
                <w:ilvl w:val="0"/>
                <w:numId w:val="6"/>
              </w:numPr>
              <w:jc w:val="both"/>
              <w:rPr>
                <w:rFonts w:ascii="Arial" w:eastAsia="Arial" w:hAnsi="Arial" w:cs="Arial"/>
                <w:sz w:val="24"/>
                <w:szCs w:val="24"/>
              </w:rPr>
            </w:pPr>
            <w:r>
              <w:rPr>
                <w:rFonts w:ascii="Arial" w:eastAsia="Arial" w:hAnsi="Arial" w:cs="Arial"/>
                <w:sz w:val="24"/>
                <w:szCs w:val="24"/>
              </w:rPr>
              <w:t>Equal opportunity</w:t>
            </w:r>
          </w:p>
          <w:p w:rsidR="000E07F6" w:rsidRDefault="00D60FD9">
            <w:pPr>
              <w:keepNext/>
              <w:widowControl/>
              <w:numPr>
                <w:ilvl w:val="0"/>
                <w:numId w:val="6"/>
              </w:numPr>
              <w:jc w:val="both"/>
              <w:rPr>
                <w:rFonts w:ascii="Arial" w:eastAsia="Arial" w:hAnsi="Arial" w:cs="Arial"/>
                <w:sz w:val="24"/>
                <w:szCs w:val="24"/>
              </w:rPr>
            </w:pPr>
            <w:r>
              <w:rPr>
                <w:rFonts w:ascii="Arial" w:eastAsia="Arial" w:hAnsi="Arial" w:cs="Arial"/>
                <w:sz w:val="24"/>
                <w:szCs w:val="24"/>
              </w:rPr>
              <w:t>Wellbeing</w:t>
            </w:r>
          </w:p>
          <w:p w:rsidR="000E07F6" w:rsidRDefault="00D60FD9">
            <w:pPr>
              <w:keepNext/>
              <w:widowControl/>
              <w:numPr>
                <w:ilvl w:val="0"/>
                <w:numId w:val="6"/>
              </w:numPr>
              <w:spacing w:after="120"/>
              <w:jc w:val="both"/>
              <w:rPr>
                <w:rFonts w:ascii="Arial" w:eastAsia="Arial" w:hAnsi="Arial" w:cs="Arial"/>
                <w:sz w:val="24"/>
                <w:szCs w:val="24"/>
              </w:rPr>
            </w:pPr>
            <w:r>
              <w:rPr>
                <w:rFonts w:ascii="Arial" w:eastAsia="Arial" w:hAnsi="Arial" w:cs="Arial"/>
                <w:sz w:val="24"/>
                <w:szCs w:val="24"/>
              </w:rPr>
              <w:t>Covid-19 recovery</w:t>
            </w:r>
          </w:p>
        </w:tc>
        <w:tc>
          <w:tcPr>
            <w:tcW w:w="30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Min 10%</w:t>
            </w:r>
          </w:p>
          <w:p w:rsidR="000E07F6" w:rsidRDefault="00D60FD9">
            <w:pPr>
              <w:widowControl/>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Max 30%</w:t>
            </w:r>
          </w:p>
        </w:tc>
      </w:tr>
      <w:tr w:rsidR="000E07F6">
        <w:trPr>
          <w:trHeight w:val="815"/>
        </w:trPr>
        <w:tc>
          <w:tcPr>
            <w:tcW w:w="5685" w:type="dxa"/>
            <w:gridSpan w:val="2"/>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before="240" w:after="120"/>
              <w:ind w:left="240"/>
              <w:rPr>
                <w:rFonts w:ascii="Arial" w:eastAsia="Arial" w:hAnsi="Arial" w:cs="Arial"/>
                <w:color w:val="000000"/>
                <w:sz w:val="24"/>
                <w:szCs w:val="24"/>
              </w:rPr>
            </w:pPr>
            <w:r>
              <w:rPr>
                <w:rFonts w:ascii="Arial" w:eastAsia="Arial" w:hAnsi="Arial" w:cs="Arial"/>
                <w:b/>
                <w:color w:val="000000"/>
                <w:sz w:val="24"/>
                <w:szCs w:val="24"/>
              </w:rPr>
              <w:lastRenderedPageBreak/>
              <w:t>Price</w:t>
            </w:r>
          </w:p>
          <w:p w:rsidR="000E07F6" w:rsidRDefault="00D60FD9">
            <w:pPr>
              <w:widowControl/>
              <w:numPr>
                <w:ilvl w:val="0"/>
                <w:numId w:val="6"/>
              </w:numPr>
              <w:pBdr>
                <w:top w:val="nil"/>
                <w:left w:val="nil"/>
                <w:bottom w:val="nil"/>
                <w:right w:val="nil"/>
                <w:between w:val="nil"/>
              </w:pBdr>
              <w:tabs>
                <w:tab w:val="left" w:pos="851"/>
              </w:tabs>
              <w:spacing w:before="240"/>
              <w:rPr>
                <w:rFonts w:ascii="Arial" w:eastAsia="Arial" w:hAnsi="Arial" w:cs="Arial"/>
                <w:color w:val="000000"/>
                <w:sz w:val="24"/>
                <w:szCs w:val="24"/>
              </w:rPr>
            </w:pPr>
            <w:r>
              <w:rPr>
                <w:rFonts w:ascii="Arial" w:eastAsia="Arial" w:hAnsi="Arial" w:cs="Arial"/>
                <w:color w:val="000000"/>
                <w:sz w:val="24"/>
                <w:szCs w:val="24"/>
              </w:rPr>
              <w:t>Cost Effectiveness</w:t>
            </w:r>
          </w:p>
          <w:p w:rsidR="000E07F6" w:rsidRDefault="00D60FD9">
            <w:pPr>
              <w:widowControl/>
              <w:numPr>
                <w:ilvl w:val="0"/>
                <w:numId w:val="6"/>
              </w:numPr>
              <w:pBdr>
                <w:top w:val="nil"/>
                <w:left w:val="nil"/>
                <w:bottom w:val="nil"/>
                <w:right w:val="nil"/>
                <w:between w:val="nil"/>
              </w:pBdr>
              <w:tabs>
                <w:tab w:val="left" w:pos="851"/>
              </w:tabs>
              <w:spacing w:after="120"/>
              <w:rPr>
                <w:rFonts w:ascii="Arial" w:eastAsia="Arial" w:hAnsi="Arial" w:cs="Arial"/>
                <w:color w:val="000000"/>
                <w:sz w:val="24"/>
                <w:szCs w:val="24"/>
              </w:rPr>
            </w:pPr>
            <w:r>
              <w:rPr>
                <w:rFonts w:ascii="Arial" w:eastAsia="Arial" w:hAnsi="Arial" w:cs="Arial"/>
                <w:color w:val="000000"/>
                <w:sz w:val="24"/>
                <w:szCs w:val="24"/>
              </w:rPr>
              <w:t>Commercial Benefits</w:t>
            </w:r>
          </w:p>
        </w:tc>
        <w:tc>
          <w:tcPr>
            <w:tcW w:w="30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before="240" w:after="120"/>
              <w:ind w:left="240" w:hanging="228"/>
              <w:jc w:val="both"/>
              <w:rPr>
                <w:rFonts w:ascii="Arial" w:eastAsia="Arial" w:hAnsi="Arial" w:cs="Arial"/>
                <w:color w:val="000000"/>
                <w:sz w:val="24"/>
                <w:szCs w:val="24"/>
              </w:rPr>
            </w:pPr>
            <w:r>
              <w:rPr>
                <w:rFonts w:ascii="Arial" w:eastAsia="Arial" w:hAnsi="Arial" w:cs="Arial"/>
                <w:color w:val="000000"/>
                <w:sz w:val="24"/>
                <w:szCs w:val="24"/>
              </w:rPr>
              <w:t>Min 10%</w:t>
            </w:r>
          </w:p>
          <w:p w:rsidR="000E07F6" w:rsidRDefault="00D60FD9">
            <w:pPr>
              <w:widowControl/>
              <w:tabs>
                <w:tab w:val="left" w:pos="851"/>
              </w:tabs>
              <w:spacing w:before="240" w:after="120"/>
              <w:ind w:left="240" w:hanging="228"/>
              <w:jc w:val="both"/>
              <w:rPr>
                <w:rFonts w:ascii="Arial" w:eastAsia="Arial" w:hAnsi="Arial" w:cs="Arial"/>
                <w:color w:val="000000"/>
                <w:sz w:val="24"/>
                <w:szCs w:val="24"/>
              </w:rPr>
            </w:pPr>
            <w:r>
              <w:rPr>
                <w:rFonts w:ascii="Arial" w:eastAsia="Arial" w:hAnsi="Arial" w:cs="Arial"/>
                <w:color w:val="000000"/>
                <w:sz w:val="24"/>
                <w:szCs w:val="24"/>
              </w:rPr>
              <w:t>Max 50%</w:t>
            </w:r>
          </w:p>
        </w:tc>
      </w:tr>
    </w:tbl>
    <w:p w:rsidR="000E07F6" w:rsidRDefault="000E07F6">
      <w:pPr>
        <w:widowControl/>
        <w:tabs>
          <w:tab w:val="left" w:pos="851"/>
        </w:tabs>
        <w:jc w:val="both"/>
      </w:pPr>
    </w:p>
    <w:p w:rsidR="000E07F6" w:rsidRDefault="00D60FD9">
      <w:r>
        <w:br w:type="page"/>
      </w:r>
    </w:p>
    <w:p w:rsidR="000E07F6" w:rsidRDefault="000E07F6">
      <w:pPr>
        <w:widowControl/>
        <w:tabs>
          <w:tab w:val="left" w:pos="851"/>
        </w:tabs>
        <w:jc w:val="both"/>
        <w:rPr>
          <w:rFonts w:ascii="Arial" w:eastAsia="Arial" w:hAnsi="Arial" w:cs="Arial"/>
          <w:color w:val="000000"/>
          <w:sz w:val="24"/>
          <w:szCs w:val="24"/>
        </w:rPr>
      </w:pPr>
    </w:p>
    <w:sdt>
      <w:sdtPr>
        <w:tag w:val="goog_rdk_0"/>
        <w:id w:val="537164865"/>
      </w:sdtPr>
      <w:sdtEndPr/>
      <w:sdtContent>
        <w:p w:rsidR="000E07F6" w:rsidRDefault="00D60FD9">
          <w:pPr>
            <w:widowControl/>
            <w:tabs>
              <w:tab w:val="left" w:pos="851"/>
            </w:tabs>
            <w:spacing w:after="240"/>
            <w:rPr>
              <w:rFonts w:ascii="Arial" w:eastAsia="Arial" w:hAnsi="Arial" w:cs="Arial"/>
              <w:color w:val="000000"/>
              <w:sz w:val="24"/>
              <w:szCs w:val="24"/>
            </w:rPr>
          </w:pPr>
          <w:r>
            <w:rPr>
              <w:rFonts w:ascii="Arial" w:eastAsia="Arial" w:hAnsi="Arial" w:cs="Arial"/>
              <w:b/>
              <w:color w:val="000000"/>
              <w:sz w:val="24"/>
              <w:szCs w:val="24"/>
            </w:rPr>
            <w:t>Lot 2:</w:t>
          </w:r>
        </w:p>
      </w:sdtContent>
    </w:sdt>
    <w:tbl>
      <w:tblPr>
        <w:tblStyle w:val="a9"/>
        <w:tblW w:w="8775" w:type="dxa"/>
        <w:tblBorders>
          <w:top w:val="nil"/>
          <w:left w:val="nil"/>
          <w:bottom w:val="nil"/>
          <w:right w:val="nil"/>
          <w:insideH w:val="nil"/>
          <w:insideV w:val="nil"/>
        </w:tblBorders>
        <w:tblLayout w:type="fixed"/>
        <w:tblLook w:val="0600" w:firstRow="0" w:lastRow="0" w:firstColumn="0" w:lastColumn="0" w:noHBand="1" w:noVBand="1"/>
      </w:tblPr>
      <w:tblGrid>
        <w:gridCol w:w="1815"/>
        <w:gridCol w:w="3870"/>
        <w:gridCol w:w="3090"/>
      </w:tblGrid>
      <w:tr w:rsidR="000E07F6">
        <w:trPr>
          <w:trHeight w:val="2135"/>
        </w:trPr>
        <w:tc>
          <w:tcPr>
            <w:tcW w:w="1815" w:type="dxa"/>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tcPr>
          <w:p w:rsidR="000E07F6" w:rsidRDefault="00D60FD9">
            <w:pPr>
              <w:widowControl/>
              <w:tabs>
                <w:tab w:val="left" w:pos="851"/>
              </w:tabs>
              <w:spacing w:before="240"/>
              <w:ind w:left="240"/>
              <w:jc w:val="center"/>
              <w:rPr>
                <w:rFonts w:ascii="Arial" w:eastAsia="Arial" w:hAnsi="Arial" w:cs="Arial"/>
                <w:color w:val="000000"/>
                <w:sz w:val="24"/>
                <w:szCs w:val="24"/>
              </w:rPr>
            </w:pPr>
            <w:r>
              <w:rPr>
                <w:rFonts w:ascii="Arial" w:eastAsia="Arial" w:hAnsi="Arial" w:cs="Arial"/>
                <w:color w:val="000000"/>
                <w:sz w:val="24"/>
                <w:szCs w:val="24"/>
              </w:rPr>
              <w:t>Criteria Number</w:t>
            </w:r>
          </w:p>
        </w:tc>
        <w:tc>
          <w:tcPr>
            <w:tcW w:w="3870" w:type="dxa"/>
            <w:tcBorders>
              <w:top w:val="single" w:sz="8" w:space="0" w:color="000000"/>
              <w:left w:val="nil"/>
              <w:bottom w:val="single" w:sz="8" w:space="0" w:color="000000"/>
              <w:right w:val="single" w:sz="8" w:space="0" w:color="000000"/>
            </w:tcBorders>
            <w:shd w:val="clear" w:color="auto" w:fill="EEECE1"/>
            <w:tcMar>
              <w:top w:w="100" w:type="dxa"/>
              <w:left w:w="100" w:type="dxa"/>
              <w:bottom w:w="100" w:type="dxa"/>
              <w:right w:w="100" w:type="dxa"/>
            </w:tcMar>
          </w:tcPr>
          <w:p w:rsidR="000E07F6" w:rsidRDefault="00D60FD9">
            <w:pPr>
              <w:widowControl/>
              <w:tabs>
                <w:tab w:val="left" w:pos="851"/>
              </w:tabs>
              <w:spacing w:before="240"/>
              <w:ind w:left="240"/>
              <w:jc w:val="center"/>
              <w:rPr>
                <w:rFonts w:ascii="Arial" w:eastAsia="Arial" w:hAnsi="Arial" w:cs="Arial"/>
                <w:color w:val="000000"/>
                <w:sz w:val="24"/>
                <w:szCs w:val="24"/>
              </w:rPr>
            </w:pPr>
            <w:r>
              <w:rPr>
                <w:rFonts w:ascii="Arial" w:eastAsia="Arial" w:hAnsi="Arial" w:cs="Arial"/>
                <w:color w:val="000000"/>
                <w:sz w:val="24"/>
                <w:szCs w:val="24"/>
              </w:rPr>
              <w:t>Criteria</w:t>
            </w:r>
          </w:p>
        </w:tc>
        <w:tc>
          <w:tcPr>
            <w:tcW w:w="3090" w:type="dxa"/>
            <w:tcBorders>
              <w:top w:val="single" w:sz="8" w:space="0" w:color="000000"/>
              <w:left w:val="nil"/>
              <w:bottom w:val="single" w:sz="8" w:space="0" w:color="000000"/>
              <w:right w:val="single" w:sz="8" w:space="0" w:color="000000"/>
            </w:tcBorders>
            <w:shd w:val="clear" w:color="auto" w:fill="EEECE1"/>
            <w:tcMar>
              <w:top w:w="100" w:type="dxa"/>
              <w:left w:w="100" w:type="dxa"/>
              <w:bottom w:w="100" w:type="dxa"/>
              <w:right w:w="100" w:type="dxa"/>
            </w:tcMar>
          </w:tcPr>
          <w:p w:rsidR="000E07F6" w:rsidRDefault="00D60FD9">
            <w:pPr>
              <w:widowControl/>
              <w:tabs>
                <w:tab w:val="left" w:pos="851"/>
              </w:tabs>
              <w:spacing w:before="240"/>
              <w:ind w:left="240"/>
              <w:jc w:val="center"/>
              <w:rPr>
                <w:rFonts w:ascii="Arial" w:eastAsia="Arial" w:hAnsi="Arial" w:cs="Arial"/>
                <w:color w:val="000000"/>
                <w:sz w:val="24"/>
                <w:szCs w:val="24"/>
              </w:rPr>
            </w:pPr>
            <w:r>
              <w:rPr>
                <w:rFonts w:ascii="Arial" w:eastAsia="Arial" w:hAnsi="Arial" w:cs="Arial"/>
                <w:color w:val="000000"/>
                <w:sz w:val="24"/>
                <w:szCs w:val="24"/>
              </w:rPr>
              <w:t>Percentage Weightings (or rank order of importance where applicable) - to be set by the Contracting Authority conducting the further competition</w:t>
            </w:r>
          </w:p>
        </w:tc>
      </w:tr>
      <w:tr w:rsidR="000E07F6">
        <w:trPr>
          <w:trHeight w:val="815"/>
        </w:trPr>
        <w:tc>
          <w:tcPr>
            <w:tcW w:w="5685" w:type="dxa"/>
            <w:gridSpan w:val="2"/>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E07F6" w:rsidRDefault="00D60FD9">
            <w:pPr>
              <w:widowControl/>
              <w:tabs>
                <w:tab w:val="left" w:pos="851"/>
              </w:tabs>
              <w:spacing w:before="240" w:after="120"/>
              <w:ind w:left="240"/>
              <w:rPr>
                <w:rFonts w:ascii="Arial" w:eastAsia="Arial" w:hAnsi="Arial" w:cs="Arial"/>
                <w:color w:val="000000"/>
                <w:sz w:val="24"/>
                <w:szCs w:val="24"/>
              </w:rPr>
            </w:pPr>
            <w:r>
              <w:rPr>
                <w:rFonts w:ascii="Arial" w:eastAsia="Arial" w:hAnsi="Arial" w:cs="Arial"/>
                <w:b/>
                <w:color w:val="000000"/>
                <w:sz w:val="24"/>
                <w:szCs w:val="24"/>
              </w:rPr>
              <w:t>Quality</w:t>
            </w:r>
          </w:p>
        </w:tc>
        <w:tc>
          <w:tcPr>
            <w:tcW w:w="3090" w:type="dxa"/>
            <w:vMerge w:val="restart"/>
            <w:tcBorders>
              <w:top w:val="nil"/>
              <w:left w:val="nil"/>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before="240" w:after="120"/>
              <w:ind w:left="240"/>
              <w:jc w:val="both"/>
              <w:rPr>
                <w:rFonts w:ascii="Arial" w:eastAsia="Arial" w:hAnsi="Arial" w:cs="Arial"/>
                <w:color w:val="000000"/>
                <w:sz w:val="24"/>
                <w:szCs w:val="24"/>
              </w:rPr>
            </w:pPr>
            <w:r>
              <w:rPr>
                <w:rFonts w:ascii="Arial" w:eastAsia="Arial" w:hAnsi="Arial" w:cs="Arial"/>
                <w:color w:val="000000"/>
                <w:sz w:val="24"/>
                <w:szCs w:val="24"/>
              </w:rPr>
              <w:t>Min 40%</w:t>
            </w:r>
          </w:p>
          <w:p w:rsidR="000E07F6" w:rsidRDefault="00D60FD9">
            <w:pPr>
              <w:widowControl/>
              <w:tabs>
                <w:tab w:val="left" w:pos="851"/>
              </w:tabs>
              <w:spacing w:before="240" w:after="120"/>
              <w:ind w:left="240"/>
              <w:jc w:val="both"/>
            </w:pPr>
            <w:r>
              <w:rPr>
                <w:rFonts w:ascii="Arial" w:eastAsia="Arial" w:hAnsi="Arial" w:cs="Arial"/>
                <w:color w:val="000000"/>
                <w:sz w:val="24"/>
                <w:szCs w:val="24"/>
              </w:rPr>
              <w:t>Max 80%</w:t>
            </w:r>
          </w:p>
          <w:p w:rsidR="000E07F6" w:rsidRDefault="000E07F6">
            <w:pPr>
              <w:widowControl/>
              <w:tabs>
                <w:tab w:val="left" w:pos="851"/>
              </w:tabs>
              <w:spacing w:before="240" w:after="120"/>
              <w:ind w:left="240"/>
              <w:jc w:val="both"/>
              <w:rPr>
                <w:rFonts w:ascii="Arial" w:eastAsia="Arial" w:hAnsi="Arial" w:cs="Arial"/>
                <w:color w:val="000000"/>
                <w:sz w:val="24"/>
                <w:szCs w:val="24"/>
              </w:rPr>
            </w:pPr>
          </w:p>
          <w:p w:rsidR="000E07F6" w:rsidRDefault="000E07F6">
            <w:pPr>
              <w:widowControl/>
              <w:tabs>
                <w:tab w:val="left" w:pos="851"/>
              </w:tabs>
              <w:spacing w:after="240"/>
              <w:ind w:left="100"/>
              <w:jc w:val="both"/>
              <w:rPr>
                <w:rFonts w:ascii="Arial" w:eastAsia="Arial" w:hAnsi="Arial" w:cs="Arial"/>
                <w:color w:val="000000"/>
                <w:sz w:val="24"/>
                <w:szCs w:val="24"/>
              </w:rPr>
            </w:pPr>
          </w:p>
          <w:p w:rsidR="000E07F6" w:rsidRDefault="000E07F6">
            <w:pPr>
              <w:widowControl/>
              <w:tabs>
                <w:tab w:val="left" w:pos="851"/>
              </w:tabs>
              <w:spacing w:after="240"/>
              <w:ind w:left="100"/>
              <w:jc w:val="both"/>
              <w:rPr>
                <w:rFonts w:ascii="Arial" w:eastAsia="Arial" w:hAnsi="Arial" w:cs="Arial"/>
                <w:color w:val="000000"/>
                <w:sz w:val="24"/>
                <w:szCs w:val="24"/>
              </w:rPr>
            </w:pPr>
          </w:p>
          <w:p w:rsidR="000E07F6" w:rsidRDefault="000E07F6">
            <w:pPr>
              <w:widowControl/>
              <w:tabs>
                <w:tab w:val="left" w:pos="851"/>
              </w:tabs>
              <w:spacing w:after="240"/>
              <w:ind w:left="100"/>
              <w:jc w:val="both"/>
              <w:rPr>
                <w:rFonts w:ascii="Arial" w:eastAsia="Arial" w:hAnsi="Arial" w:cs="Arial"/>
                <w:color w:val="000000"/>
                <w:sz w:val="24"/>
                <w:szCs w:val="24"/>
              </w:rPr>
            </w:pPr>
          </w:p>
          <w:p w:rsidR="000E07F6" w:rsidRDefault="000E07F6">
            <w:pPr>
              <w:widowControl/>
              <w:tabs>
                <w:tab w:val="left" w:pos="851"/>
              </w:tabs>
              <w:spacing w:after="240"/>
              <w:ind w:left="100"/>
              <w:jc w:val="both"/>
              <w:rPr>
                <w:rFonts w:ascii="Arial" w:eastAsia="Arial" w:hAnsi="Arial" w:cs="Arial"/>
                <w:color w:val="000000"/>
                <w:sz w:val="24"/>
                <w:szCs w:val="24"/>
              </w:rPr>
            </w:pPr>
          </w:p>
        </w:tc>
      </w:tr>
      <w:tr w:rsidR="000E07F6">
        <w:trPr>
          <w:trHeight w:val="815"/>
        </w:trPr>
        <w:tc>
          <w:tcPr>
            <w:tcW w:w="181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before="240" w:after="120"/>
              <w:ind w:left="240"/>
              <w:rPr>
                <w:rFonts w:ascii="Arial" w:eastAsia="Arial" w:hAnsi="Arial" w:cs="Arial"/>
                <w:color w:val="000000"/>
                <w:sz w:val="24"/>
                <w:szCs w:val="24"/>
              </w:rPr>
            </w:pPr>
            <w:r>
              <w:rPr>
                <w:rFonts w:ascii="Arial" w:eastAsia="Arial" w:hAnsi="Arial" w:cs="Arial"/>
                <w:color w:val="000000"/>
                <w:sz w:val="24"/>
                <w:szCs w:val="24"/>
              </w:rPr>
              <w:t>A</w:t>
            </w:r>
          </w:p>
        </w:tc>
        <w:tc>
          <w:tcPr>
            <w:tcW w:w="38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before="240" w:after="120"/>
              <w:ind w:left="240"/>
              <w:rPr>
                <w:rFonts w:ascii="Arial" w:eastAsia="Arial" w:hAnsi="Arial" w:cs="Arial"/>
                <w:color w:val="000000"/>
                <w:sz w:val="24"/>
                <w:szCs w:val="24"/>
              </w:rPr>
            </w:pPr>
            <w:r>
              <w:rPr>
                <w:rFonts w:ascii="Arial" w:eastAsia="Arial" w:hAnsi="Arial" w:cs="Arial"/>
                <w:color w:val="000000"/>
                <w:sz w:val="24"/>
                <w:szCs w:val="24"/>
              </w:rPr>
              <w:t>Technical capability</w:t>
            </w:r>
          </w:p>
        </w:tc>
        <w:tc>
          <w:tcPr>
            <w:tcW w:w="3090" w:type="dxa"/>
            <w:vMerge/>
            <w:tcBorders>
              <w:top w:val="nil"/>
              <w:left w:val="nil"/>
              <w:right w:val="single" w:sz="8" w:space="0" w:color="000000"/>
            </w:tcBorders>
            <w:shd w:val="clear" w:color="auto" w:fill="auto"/>
            <w:tcMar>
              <w:top w:w="100" w:type="dxa"/>
              <w:left w:w="100" w:type="dxa"/>
              <w:bottom w:w="100" w:type="dxa"/>
              <w:right w:w="100" w:type="dxa"/>
            </w:tcMar>
          </w:tcPr>
          <w:p w:rsidR="000E07F6" w:rsidRDefault="000E07F6">
            <w:pPr>
              <w:pBdr>
                <w:top w:val="nil"/>
                <w:left w:val="nil"/>
                <w:bottom w:val="nil"/>
                <w:right w:val="nil"/>
                <w:between w:val="nil"/>
              </w:pBdr>
              <w:spacing w:line="276" w:lineRule="auto"/>
              <w:rPr>
                <w:rFonts w:ascii="Arial" w:eastAsia="Arial" w:hAnsi="Arial" w:cs="Arial"/>
                <w:color w:val="000000"/>
                <w:sz w:val="24"/>
                <w:szCs w:val="24"/>
              </w:rPr>
            </w:pPr>
          </w:p>
        </w:tc>
      </w:tr>
      <w:tr w:rsidR="000E07F6">
        <w:trPr>
          <w:trHeight w:val="815"/>
        </w:trPr>
        <w:tc>
          <w:tcPr>
            <w:tcW w:w="181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before="240" w:after="120"/>
              <w:ind w:left="240"/>
              <w:rPr>
                <w:rFonts w:ascii="Arial" w:eastAsia="Arial" w:hAnsi="Arial" w:cs="Arial"/>
                <w:color w:val="000000"/>
                <w:sz w:val="24"/>
                <w:szCs w:val="24"/>
              </w:rPr>
            </w:pPr>
            <w:r>
              <w:rPr>
                <w:rFonts w:ascii="Arial" w:eastAsia="Arial" w:hAnsi="Arial" w:cs="Arial"/>
                <w:color w:val="000000"/>
                <w:sz w:val="24"/>
                <w:szCs w:val="24"/>
              </w:rPr>
              <w:t>B</w:t>
            </w:r>
          </w:p>
        </w:tc>
        <w:tc>
          <w:tcPr>
            <w:tcW w:w="38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before="240" w:after="120"/>
              <w:ind w:left="240"/>
              <w:rPr>
                <w:rFonts w:ascii="Arial" w:eastAsia="Arial" w:hAnsi="Arial" w:cs="Arial"/>
                <w:color w:val="000000"/>
                <w:sz w:val="24"/>
                <w:szCs w:val="24"/>
              </w:rPr>
            </w:pPr>
            <w:r>
              <w:rPr>
                <w:rFonts w:ascii="Arial" w:eastAsia="Arial" w:hAnsi="Arial" w:cs="Arial"/>
                <w:color w:val="000000"/>
                <w:sz w:val="24"/>
                <w:szCs w:val="24"/>
              </w:rPr>
              <w:t>Contract Management</w:t>
            </w:r>
          </w:p>
        </w:tc>
        <w:tc>
          <w:tcPr>
            <w:tcW w:w="3090" w:type="dxa"/>
            <w:vMerge/>
            <w:tcBorders>
              <w:top w:val="nil"/>
              <w:left w:val="nil"/>
              <w:right w:val="single" w:sz="8" w:space="0" w:color="000000"/>
            </w:tcBorders>
            <w:shd w:val="clear" w:color="auto" w:fill="auto"/>
            <w:tcMar>
              <w:top w:w="100" w:type="dxa"/>
              <w:left w:w="100" w:type="dxa"/>
              <w:bottom w:w="100" w:type="dxa"/>
              <w:right w:w="100" w:type="dxa"/>
            </w:tcMar>
          </w:tcPr>
          <w:p w:rsidR="000E07F6" w:rsidRDefault="000E07F6">
            <w:pPr>
              <w:pBdr>
                <w:top w:val="nil"/>
                <w:left w:val="nil"/>
                <w:bottom w:val="nil"/>
                <w:right w:val="nil"/>
                <w:between w:val="nil"/>
              </w:pBdr>
              <w:spacing w:line="276" w:lineRule="auto"/>
              <w:rPr>
                <w:rFonts w:ascii="Arial" w:eastAsia="Arial" w:hAnsi="Arial" w:cs="Arial"/>
                <w:color w:val="000000"/>
                <w:sz w:val="24"/>
                <w:szCs w:val="24"/>
              </w:rPr>
            </w:pPr>
          </w:p>
        </w:tc>
      </w:tr>
      <w:tr w:rsidR="000E07F6">
        <w:trPr>
          <w:trHeight w:val="815"/>
        </w:trPr>
        <w:tc>
          <w:tcPr>
            <w:tcW w:w="181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before="240" w:after="120"/>
              <w:ind w:left="240"/>
              <w:rPr>
                <w:rFonts w:ascii="Arial" w:eastAsia="Arial" w:hAnsi="Arial" w:cs="Arial"/>
                <w:color w:val="000000"/>
                <w:sz w:val="24"/>
                <w:szCs w:val="24"/>
              </w:rPr>
            </w:pPr>
            <w:r>
              <w:rPr>
                <w:rFonts w:ascii="Arial" w:eastAsia="Arial" w:hAnsi="Arial" w:cs="Arial"/>
                <w:color w:val="000000"/>
                <w:sz w:val="24"/>
                <w:szCs w:val="24"/>
              </w:rPr>
              <w:t>C</w:t>
            </w:r>
          </w:p>
        </w:tc>
        <w:tc>
          <w:tcPr>
            <w:tcW w:w="38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before="240" w:after="120"/>
              <w:ind w:left="240"/>
              <w:rPr>
                <w:rFonts w:ascii="Arial" w:eastAsia="Arial" w:hAnsi="Arial" w:cs="Arial"/>
                <w:color w:val="000000"/>
                <w:sz w:val="24"/>
                <w:szCs w:val="24"/>
              </w:rPr>
            </w:pPr>
            <w:r>
              <w:rPr>
                <w:rFonts w:ascii="Arial" w:eastAsia="Arial" w:hAnsi="Arial" w:cs="Arial"/>
                <w:color w:val="000000"/>
                <w:sz w:val="24"/>
                <w:szCs w:val="24"/>
              </w:rPr>
              <w:t>Implementation</w:t>
            </w:r>
          </w:p>
        </w:tc>
        <w:tc>
          <w:tcPr>
            <w:tcW w:w="3090" w:type="dxa"/>
            <w:vMerge/>
            <w:tcBorders>
              <w:top w:val="nil"/>
              <w:left w:val="nil"/>
              <w:right w:val="single" w:sz="8" w:space="0" w:color="000000"/>
            </w:tcBorders>
            <w:shd w:val="clear" w:color="auto" w:fill="auto"/>
            <w:tcMar>
              <w:top w:w="100" w:type="dxa"/>
              <w:left w:w="100" w:type="dxa"/>
              <w:bottom w:w="100" w:type="dxa"/>
              <w:right w:w="100" w:type="dxa"/>
            </w:tcMar>
          </w:tcPr>
          <w:p w:rsidR="000E07F6" w:rsidRDefault="000E07F6">
            <w:pPr>
              <w:pBdr>
                <w:top w:val="nil"/>
                <w:left w:val="nil"/>
                <w:bottom w:val="nil"/>
                <w:right w:val="nil"/>
                <w:between w:val="nil"/>
              </w:pBdr>
              <w:spacing w:line="276" w:lineRule="auto"/>
              <w:rPr>
                <w:rFonts w:ascii="Arial" w:eastAsia="Arial" w:hAnsi="Arial" w:cs="Arial"/>
                <w:color w:val="000000"/>
                <w:sz w:val="24"/>
                <w:szCs w:val="24"/>
              </w:rPr>
            </w:pPr>
          </w:p>
        </w:tc>
      </w:tr>
      <w:tr w:rsidR="000E07F6">
        <w:trPr>
          <w:trHeight w:val="815"/>
        </w:trPr>
        <w:tc>
          <w:tcPr>
            <w:tcW w:w="181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before="240" w:after="120"/>
              <w:ind w:left="240"/>
              <w:rPr>
                <w:rFonts w:ascii="Arial" w:eastAsia="Arial" w:hAnsi="Arial" w:cs="Arial"/>
                <w:color w:val="000000"/>
                <w:sz w:val="24"/>
                <w:szCs w:val="24"/>
              </w:rPr>
            </w:pPr>
            <w:r>
              <w:rPr>
                <w:rFonts w:ascii="Arial" w:eastAsia="Arial" w:hAnsi="Arial" w:cs="Arial"/>
                <w:color w:val="000000"/>
                <w:sz w:val="24"/>
                <w:szCs w:val="24"/>
              </w:rPr>
              <w:t>D</w:t>
            </w:r>
          </w:p>
        </w:tc>
        <w:tc>
          <w:tcPr>
            <w:tcW w:w="38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before="240" w:after="120"/>
              <w:ind w:left="240"/>
              <w:rPr>
                <w:rFonts w:ascii="Arial" w:eastAsia="Arial" w:hAnsi="Arial" w:cs="Arial"/>
                <w:color w:val="000000"/>
                <w:sz w:val="24"/>
                <w:szCs w:val="24"/>
              </w:rPr>
            </w:pPr>
            <w:r>
              <w:rPr>
                <w:rFonts w:ascii="Arial" w:eastAsia="Arial" w:hAnsi="Arial" w:cs="Arial"/>
                <w:color w:val="000000"/>
                <w:sz w:val="24"/>
                <w:szCs w:val="24"/>
              </w:rPr>
              <w:t>Transformation</w:t>
            </w:r>
          </w:p>
        </w:tc>
        <w:tc>
          <w:tcPr>
            <w:tcW w:w="3090" w:type="dxa"/>
            <w:vMerge/>
            <w:tcBorders>
              <w:top w:val="nil"/>
              <w:left w:val="nil"/>
              <w:right w:val="single" w:sz="8" w:space="0" w:color="000000"/>
            </w:tcBorders>
            <w:shd w:val="clear" w:color="auto" w:fill="auto"/>
            <w:tcMar>
              <w:top w:w="100" w:type="dxa"/>
              <w:left w:w="100" w:type="dxa"/>
              <w:bottom w:w="100" w:type="dxa"/>
              <w:right w:w="100" w:type="dxa"/>
            </w:tcMar>
          </w:tcPr>
          <w:p w:rsidR="000E07F6" w:rsidRDefault="000E07F6">
            <w:pPr>
              <w:pBdr>
                <w:top w:val="nil"/>
                <w:left w:val="nil"/>
                <w:bottom w:val="nil"/>
                <w:right w:val="nil"/>
                <w:between w:val="nil"/>
              </w:pBdr>
              <w:spacing w:line="276" w:lineRule="auto"/>
              <w:rPr>
                <w:rFonts w:ascii="Arial" w:eastAsia="Arial" w:hAnsi="Arial" w:cs="Arial"/>
                <w:color w:val="000000"/>
                <w:sz w:val="24"/>
                <w:szCs w:val="24"/>
              </w:rPr>
            </w:pPr>
          </w:p>
        </w:tc>
      </w:tr>
      <w:tr w:rsidR="000E07F6">
        <w:trPr>
          <w:trHeight w:val="815"/>
        </w:trPr>
        <w:tc>
          <w:tcPr>
            <w:tcW w:w="5685" w:type="dxa"/>
            <w:gridSpan w:val="2"/>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before="240" w:after="120"/>
              <w:ind w:left="240"/>
              <w:rPr>
                <w:rFonts w:ascii="Arial" w:eastAsia="Arial" w:hAnsi="Arial" w:cs="Arial"/>
                <w:color w:val="000000"/>
                <w:sz w:val="24"/>
                <w:szCs w:val="24"/>
              </w:rPr>
            </w:pPr>
            <w:r>
              <w:rPr>
                <w:rFonts w:ascii="Arial" w:eastAsia="Arial" w:hAnsi="Arial" w:cs="Arial"/>
                <w:b/>
                <w:color w:val="000000"/>
                <w:sz w:val="24"/>
                <w:szCs w:val="24"/>
              </w:rPr>
              <w:t>Social Value</w:t>
            </w:r>
            <w:r>
              <w:rPr>
                <w:rFonts w:ascii="Arial" w:eastAsia="Arial" w:hAnsi="Arial" w:cs="Arial"/>
                <w:color w:val="000000"/>
                <w:sz w:val="24"/>
                <w:szCs w:val="24"/>
              </w:rPr>
              <w:t xml:space="preserve"> </w:t>
            </w:r>
            <w:r>
              <w:rPr>
                <w:rFonts w:ascii="Arial" w:eastAsia="Arial" w:hAnsi="Arial" w:cs="Arial"/>
                <w:color w:val="000000"/>
                <w:sz w:val="24"/>
                <w:szCs w:val="24"/>
                <w:vertAlign w:val="superscript"/>
              </w:rPr>
              <w:footnoteReference w:id="3"/>
            </w:r>
          </w:p>
          <w:p w:rsidR="000E07F6" w:rsidRDefault="000E07F6">
            <w:pPr>
              <w:rPr>
                <w:rFonts w:ascii="Arial" w:eastAsia="Arial" w:hAnsi="Arial" w:cs="Arial"/>
                <w:sz w:val="24"/>
                <w:szCs w:val="24"/>
              </w:rPr>
            </w:pPr>
          </w:p>
          <w:p w:rsidR="000E07F6" w:rsidRDefault="00D60FD9">
            <w:pPr>
              <w:keepNext/>
              <w:widowControl/>
              <w:numPr>
                <w:ilvl w:val="0"/>
                <w:numId w:val="6"/>
              </w:numPr>
              <w:spacing w:before="240"/>
              <w:jc w:val="both"/>
              <w:rPr>
                <w:rFonts w:ascii="Arial" w:eastAsia="Arial" w:hAnsi="Arial" w:cs="Arial"/>
                <w:sz w:val="24"/>
                <w:szCs w:val="24"/>
              </w:rPr>
            </w:pPr>
            <w:r>
              <w:rPr>
                <w:rFonts w:ascii="Arial" w:eastAsia="Arial" w:hAnsi="Arial" w:cs="Arial"/>
                <w:sz w:val="24"/>
                <w:szCs w:val="24"/>
              </w:rPr>
              <w:t>Tackling economic inequality</w:t>
            </w:r>
          </w:p>
          <w:p w:rsidR="000E07F6" w:rsidRDefault="00D60FD9">
            <w:pPr>
              <w:keepNext/>
              <w:widowControl/>
              <w:numPr>
                <w:ilvl w:val="0"/>
                <w:numId w:val="6"/>
              </w:numPr>
              <w:jc w:val="both"/>
              <w:rPr>
                <w:rFonts w:ascii="Arial" w:eastAsia="Arial" w:hAnsi="Arial" w:cs="Arial"/>
                <w:sz w:val="24"/>
                <w:szCs w:val="24"/>
              </w:rPr>
            </w:pPr>
            <w:r>
              <w:rPr>
                <w:rFonts w:ascii="Arial" w:eastAsia="Arial" w:hAnsi="Arial" w:cs="Arial"/>
                <w:sz w:val="24"/>
                <w:szCs w:val="24"/>
              </w:rPr>
              <w:t>Fighting climate change</w:t>
            </w:r>
          </w:p>
          <w:p w:rsidR="000E07F6" w:rsidRDefault="00D60FD9">
            <w:pPr>
              <w:keepNext/>
              <w:widowControl/>
              <w:numPr>
                <w:ilvl w:val="0"/>
                <w:numId w:val="6"/>
              </w:numPr>
              <w:jc w:val="both"/>
              <w:rPr>
                <w:rFonts w:ascii="Arial" w:eastAsia="Arial" w:hAnsi="Arial" w:cs="Arial"/>
                <w:sz w:val="24"/>
                <w:szCs w:val="24"/>
              </w:rPr>
            </w:pPr>
            <w:r>
              <w:rPr>
                <w:rFonts w:ascii="Arial" w:eastAsia="Arial" w:hAnsi="Arial" w:cs="Arial"/>
                <w:sz w:val="24"/>
                <w:szCs w:val="24"/>
              </w:rPr>
              <w:t>Equal opportunity</w:t>
            </w:r>
          </w:p>
          <w:p w:rsidR="000E07F6" w:rsidRDefault="00D60FD9">
            <w:pPr>
              <w:keepNext/>
              <w:widowControl/>
              <w:numPr>
                <w:ilvl w:val="0"/>
                <w:numId w:val="6"/>
              </w:numPr>
              <w:jc w:val="both"/>
              <w:rPr>
                <w:rFonts w:ascii="Arial" w:eastAsia="Arial" w:hAnsi="Arial" w:cs="Arial"/>
                <w:sz w:val="24"/>
                <w:szCs w:val="24"/>
              </w:rPr>
            </w:pPr>
            <w:r>
              <w:rPr>
                <w:rFonts w:ascii="Arial" w:eastAsia="Arial" w:hAnsi="Arial" w:cs="Arial"/>
                <w:sz w:val="24"/>
                <w:szCs w:val="24"/>
              </w:rPr>
              <w:t>Wellbeing</w:t>
            </w:r>
          </w:p>
          <w:p w:rsidR="000E07F6" w:rsidRDefault="00D60FD9">
            <w:pPr>
              <w:keepNext/>
              <w:widowControl/>
              <w:numPr>
                <w:ilvl w:val="0"/>
                <w:numId w:val="6"/>
              </w:numPr>
              <w:spacing w:after="120"/>
              <w:jc w:val="both"/>
              <w:rPr>
                <w:rFonts w:ascii="Arial" w:eastAsia="Arial" w:hAnsi="Arial" w:cs="Arial"/>
                <w:sz w:val="24"/>
                <w:szCs w:val="24"/>
              </w:rPr>
            </w:pPr>
            <w:r>
              <w:rPr>
                <w:rFonts w:ascii="Arial" w:eastAsia="Arial" w:hAnsi="Arial" w:cs="Arial"/>
                <w:sz w:val="24"/>
                <w:szCs w:val="24"/>
              </w:rPr>
              <w:t>Covid-19 recovery</w:t>
            </w:r>
          </w:p>
        </w:tc>
        <w:tc>
          <w:tcPr>
            <w:tcW w:w="30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Min 10%</w:t>
            </w:r>
          </w:p>
          <w:p w:rsidR="000E07F6" w:rsidRDefault="00D60FD9">
            <w:pPr>
              <w:widowControl/>
              <w:tabs>
                <w:tab w:val="left" w:pos="851"/>
              </w:tabs>
              <w:spacing w:after="240"/>
              <w:jc w:val="both"/>
            </w:pPr>
            <w:r>
              <w:rPr>
                <w:rFonts w:ascii="Arial" w:eastAsia="Arial" w:hAnsi="Arial" w:cs="Arial"/>
                <w:color w:val="000000"/>
                <w:sz w:val="24"/>
                <w:szCs w:val="24"/>
              </w:rPr>
              <w:t>Max 30%</w:t>
            </w:r>
          </w:p>
          <w:p w:rsidR="000E07F6" w:rsidRDefault="000E07F6">
            <w:pPr>
              <w:widowControl/>
              <w:tabs>
                <w:tab w:val="left" w:pos="851"/>
              </w:tabs>
              <w:spacing w:after="240"/>
              <w:jc w:val="both"/>
              <w:rPr>
                <w:rFonts w:ascii="Arial" w:eastAsia="Arial" w:hAnsi="Arial" w:cs="Arial"/>
                <w:color w:val="000000"/>
                <w:sz w:val="24"/>
                <w:szCs w:val="24"/>
              </w:rPr>
            </w:pPr>
          </w:p>
        </w:tc>
      </w:tr>
      <w:tr w:rsidR="000E07F6">
        <w:trPr>
          <w:trHeight w:val="815"/>
        </w:trPr>
        <w:tc>
          <w:tcPr>
            <w:tcW w:w="5685" w:type="dxa"/>
            <w:gridSpan w:val="2"/>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before="240" w:after="120"/>
              <w:ind w:left="240"/>
              <w:rPr>
                <w:rFonts w:ascii="Arial" w:eastAsia="Arial" w:hAnsi="Arial" w:cs="Arial"/>
                <w:color w:val="000000"/>
                <w:sz w:val="24"/>
                <w:szCs w:val="24"/>
              </w:rPr>
            </w:pPr>
            <w:r>
              <w:rPr>
                <w:rFonts w:ascii="Arial" w:eastAsia="Arial" w:hAnsi="Arial" w:cs="Arial"/>
                <w:b/>
                <w:color w:val="000000"/>
                <w:sz w:val="24"/>
                <w:szCs w:val="24"/>
              </w:rPr>
              <w:t>Price</w:t>
            </w:r>
          </w:p>
        </w:tc>
        <w:tc>
          <w:tcPr>
            <w:tcW w:w="30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before="240" w:after="120"/>
              <w:ind w:left="240" w:hanging="228"/>
              <w:jc w:val="both"/>
              <w:rPr>
                <w:rFonts w:ascii="Arial" w:eastAsia="Arial" w:hAnsi="Arial" w:cs="Arial"/>
                <w:color w:val="000000"/>
                <w:sz w:val="24"/>
                <w:szCs w:val="24"/>
              </w:rPr>
            </w:pPr>
            <w:r>
              <w:rPr>
                <w:rFonts w:ascii="Arial" w:eastAsia="Arial" w:hAnsi="Arial" w:cs="Arial"/>
                <w:color w:val="000000"/>
                <w:sz w:val="24"/>
                <w:szCs w:val="24"/>
              </w:rPr>
              <w:t>Min 10%</w:t>
            </w:r>
          </w:p>
          <w:p w:rsidR="000E07F6" w:rsidRDefault="00D60FD9">
            <w:pPr>
              <w:widowControl/>
              <w:tabs>
                <w:tab w:val="left" w:pos="851"/>
              </w:tabs>
              <w:spacing w:before="240" w:after="120"/>
              <w:ind w:left="240" w:hanging="228"/>
              <w:jc w:val="both"/>
            </w:pPr>
            <w:r>
              <w:rPr>
                <w:rFonts w:ascii="Arial" w:eastAsia="Arial" w:hAnsi="Arial" w:cs="Arial"/>
                <w:color w:val="000000"/>
                <w:sz w:val="24"/>
                <w:szCs w:val="24"/>
              </w:rPr>
              <w:t>Max 50%</w:t>
            </w:r>
          </w:p>
          <w:p w:rsidR="000E07F6" w:rsidRDefault="000E07F6">
            <w:pPr>
              <w:widowControl/>
              <w:tabs>
                <w:tab w:val="left" w:pos="851"/>
              </w:tabs>
              <w:spacing w:before="240" w:after="120"/>
              <w:ind w:left="240"/>
              <w:jc w:val="both"/>
              <w:rPr>
                <w:rFonts w:ascii="Arial" w:eastAsia="Arial" w:hAnsi="Arial" w:cs="Arial"/>
                <w:color w:val="000000"/>
                <w:sz w:val="24"/>
                <w:szCs w:val="24"/>
              </w:rPr>
            </w:pPr>
          </w:p>
        </w:tc>
      </w:tr>
    </w:tbl>
    <w:p w:rsidR="000E07F6" w:rsidRDefault="00D60FD9">
      <w:pPr>
        <w:widowControl/>
        <w:tabs>
          <w:tab w:val="left" w:pos="851"/>
        </w:tabs>
        <w:spacing w:after="240"/>
        <w:rPr>
          <w:rFonts w:ascii="Arial" w:eastAsia="Arial" w:hAnsi="Arial" w:cs="Arial"/>
          <w:color w:val="000000"/>
          <w:sz w:val="24"/>
          <w:szCs w:val="24"/>
        </w:rPr>
      </w:pPr>
      <w:r>
        <w:rPr>
          <w:rFonts w:ascii="Arial" w:eastAsia="Arial" w:hAnsi="Arial" w:cs="Arial"/>
          <w:color w:val="000000"/>
          <w:sz w:val="24"/>
          <w:szCs w:val="24"/>
        </w:rPr>
        <w:lastRenderedPageBreak/>
        <w:t xml:space="preserve"> </w:t>
      </w:r>
      <w:r>
        <w:rPr>
          <w:rFonts w:ascii="Arial" w:eastAsia="Arial" w:hAnsi="Arial" w:cs="Arial"/>
          <w:color w:val="000000"/>
          <w:sz w:val="24"/>
          <w:szCs w:val="24"/>
        </w:rPr>
        <w:br/>
      </w:r>
      <w:r>
        <w:br w:type="page"/>
      </w:r>
    </w:p>
    <w:p w:rsidR="000E07F6" w:rsidRDefault="00D60FD9" w:rsidP="000D16AD">
      <w:pPr>
        <w:widowControl/>
        <w:tabs>
          <w:tab w:val="left" w:pos="851"/>
        </w:tabs>
        <w:spacing w:after="240"/>
        <w:rPr>
          <w:rFonts w:ascii="Arial Bold" w:eastAsia="Arial Bold" w:hAnsi="Arial Bold" w:cs="Arial Bold"/>
          <w:b/>
          <w:sz w:val="36"/>
          <w:szCs w:val="36"/>
        </w:rPr>
      </w:pPr>
      <w:bookmarkStart w:id="14" w:name="_heading=h.26in1rg" w:colFirst="0" w:colLast="0"/>
      <w:bookmarkEnd w:id="14"/>
      <w:r>
        <w:rPr>
          <w:rFonts w:ascii="Arial Bold" w:eastAsia="Arial Bold" w:hAnsi="Arial Bold" w:cs="Arial Bold"/>
          <w:b/>
          <w:sz w:val="36"/>
          <w:szCs w:val="36"/>
        </w:rPr>
        <w:lastRenderedPageBreak/>
        <w:t xml:space="preserve">Annex C - The EOI </w:t>
      </w:r>
      <w:bookmarkStart w:id="15" w:name="_heading=h.lnxbz9" w:colFirst="0" w:colLast="0"/>
      <w:bookmarkEnd w:id="15"/>
    </w:p>
    <w:p w:rsidR="000D16AD" w:rsidRDefault="000D16AD" w:rsidP="000D16AD">
      <w:pPr>
        <w:widowControl/>
        <w:tabs>
          <w:tab w:val="left" w:pos="851"/>
        </w:tabs>
        <w:spacing w:after="240"/>
        <w:rPr>
          <w:rFonts w:ascii="Arial Bold" w:eastAsia="Arial Bold" w:hAnsi="Arial Bold" w:cs="Arial Bold"/>
          <w:b/>
          <w:sz w:val="36"/>
          <w:szCs w:val="36"/>
        </w:rPr>
      </w:pPr>
    </w:p>
    <w:bookmarkStart w:id="16" w:name="_MON_1678265784"/>
    <w:bookmarkEnd w:id="16"/>
    <w:p w:rsidR="000D16AD" w:rsidRDefault="008365A0" w:rsidP="000D16AD">
      <w:pPr>
        <w:widowControl/>
        <w:tabs>
          <w:tab w:val="left" w:pos="851"/>
        </w:tabs>
        <w:spacing w:after="240"/>
        <w:rPr>
          <w:rFonts w:ascii="Arial Bold" w:eastAsia="Arial Bold" w:hAnsi="Arial Bold" w:cs="Arial Bold"/>
          <w:b/>
          <w:sz w:val="36"/>
          <w:szCs w:val="36"/>
        </w:rPr>
        <w:sectPr w:rsidR="000D16AD">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r>
        <w:rPr>
          <w:rFonts w:ascii="Arial Bold" w:eastAsia="Arial Bold" w:hAnsi="Arial Bold" w:cs="Arial Bold"/>
          <w:b/>
          <w:noProof/>
          <w:sz w:val="36"/>
          <w:szCs w:val="36"/>
        </w:rPr>
        <w:object w:dxaOrig="1520"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6pt;height:48pt;mso-width-percent:0;mso-height-percent:0;mso-width-percent:0;mso-height-percent:0" o:ole="">
            <v:imagedata r:id="rId12" o:title=""/>
          </v:shape>
          <o:OLEObject Type="Embed" ProgID="Word.Document.12" ShapeID="_x0000_i1025" DrawAspect="Icon" ObjectID="_1681282964" r:id="rId13">
            <o:FieldCodes>\s</o:FieldCodes>
          </o:OLEObject>
        </w:object>
      </w:r>
    </w:p>
    <w:p w:rsidR="000E07F6" w:rsidRDefault="000E07F6">
      <w:pPr>
        <w:widowControl/>
        <w:tabs>
          <w:tab w:val="left" w:pos="851"/>
        </w:tabs>
        <w:spacing w:after="240"/>
        <w:rPr>
          <w:rFonts w:ascii="Arial" w:eastAsia="Arial" w:hAnsi="Arial" w:cs="Arial"/>
          <w:sz w:val="24"/>
          <w:szCs w:val="24"/>
        </w:rPr>
      </w:pPr>
    </w:p>
    <w:p w:rsidR="000E07F6" w:rsidRDefault="00D60FD9">
      <w:pPr>
        <w:widowControl/>
        <w:tabs>
          <w:tab w:val="left" w:pos="851"/>
        </w:tabs>
        <w:spacing w:after="240"/>
        <w:rPr>
          <w:rFonts w:ascii="Arial" w:eastAsia="Arial" w:hAnsi="Arial" w:cs="Arial"/>
          <w:sz w:val="24"/>
          <w:szCs w:val="24"/>
        </w:rPr>
      </w:pPr>
      <w:r>
        <w:rPr>
          <w:rFonts w:ascii="Arial Bold" w:eastAsia="Arial Bold" w:hAnsi="Arial Bold" w:cs="Arial Bold"/>
          <w:b/>
          <w:sz w:val="36"/>
          <w:szCs w:val="36"/>
        </w:rPr>
        <w:t xml:space="preserve">Annex D - Pricing Models </w:t>
      </w:r>
    </w:p>
    <w:p w:rsidR="000E07F6" w:rsidRDefault="00D60FD9">
      <w:pPr>
        <w:widowControl/>
        <w:tabs>
          <w:tab w:val="left" w:pos="851"/>
        </w:tabs>
        <w:spacing w:after="240"/>
        <w:rPr>
          <w:rFonts w:ascii="Arial" w:eastAsia="Arial" w:hAnsi="Arial" w:cs="Arial"/>
          <w:color w:val="000000"/>
          <w:sz w:val="24"/>
          <w:szCs w:val="24"/>
        </w:rPr>
      </w:pPr>
      <w:r>
        <w:rPr>
          <w:rFonts w:ascii="Arial" w:eastAsia="Arial" w:hAnsi="Arial" w:cs="Arial"/>
          <w:sz w:val="24"/>
          <w:szCs w:val="24"/>
        </w:rPr>
        <w:br/>
      </w:r>
      <w:r>
        <w:rPr>
          <w:rFonts w:ascii="Arial" w:eastAsia="Arial" w:hAnsi="Arial" w:cs="Arial"/>
          <w:color w:val="000000"/>
          <w:sz w:val="24"/>
          <w:szCs w:val="24"/>
        </w:rPr>
        <w:t xml:space="preserve">One of the following pricing models may be used to evaluate a Call Off tender and shall be selected based on the specific commercial needs of each Call Off Contract. </w:t>
      </w:r>
    </w:p>
    <w:p w:rsidR="000E07F6" w:rsidRDefault="00D60FD9">
      <w:pPr>
        <w:widowControl/>
        <w:tabs>
          <w:tab w:val="left" w:pos="851"/>
        </w:tabs>
        <w:spacing w:after="240"/>
        <w:rPr>
          <w:rFonts w:ascii="Arial" w:eastAsia="Arial" w:hAnsi="Arial" w:cs="Arial"/>
          <w:color w:val="000000"/>
          <w:sz w:val="24"/>
          <w:szCs w:val="24"/>
        </w:rPr>
      </w:pPr>
      <w:r>
        <w:rPr>
          <w:rFonts w:ascii="Arial" w:eastAsia="Arial" w:hAnsi="Arial" w:cs="Arial"/>
          <w:color w:val="000000"/>
          <w:sz w:val="24"/>
          <w:szCs w:val="24"/>
        </w:rPr>
        <w:t>A detailed description of the pricing model selected will be defined in the Call Off specification.</w:t>
      </w:r>
    </w:p>
    <w:p w:rsidR="000E07F6" w:rsidRDefault="00D60FD9">
      <w:pPr>
        <w:widowControl/>
        <w:shd w:val="clear" w:color="auto" w:fill="FFFFFF"/>
        <w:tabs>
          <w:tab w:val="left" w:pos="851"/>
        </w:tabs>
        <w:rPr>
          <w:rFonts w:ascii="Arial" w:eastAsia="Arial" w:hAnsi="Arial" w:cs="Arial"/>
          <w:color w:val="000000"/>
          <w:sz w:val="24"/>
          <w:szCs w:val="24"/>
        </w:rPr>
      </w:pPr>
      <w:r>
        <w:rPr>
          <w:rFonts w:ascii="Arial" w:eastAsia="Arial" w:hAnsi="Arial" w:cs="Arial"/>
          <w:b/>
          <w:color w:val="000000"/>
          <w:sz w:val="24"/>
          <w:szCs w:val="24"/>
        </w:rPr>
        <w:t>Fixed price</w:t>
      </w:r>
    </w:p>
    <w:p w:rsidR="000E07F6" w:rsidRDefault="00D60FD9">
      <w:pPr>
        <w:widowControl/>
        <w:shd w:val="clear" w:color="auto" w:fill="FFFFFF"/>
        <w:tabs>
          <w:tab w:val="left" w:pos="851"/>
        </w:tabs>
        <w:rPr>
          <w:rFonts w:ascii="Arial" w:eastAsia="Arial" w:hAnsi="Arial" w:cs="Arial"/>
          <w:color w:val="000000"/>
          <w:sz w:val="24"/>
          <w:szCs w:val="24"/>
        </w:rPr>
      </w:pPr>
      <w:r>
        <w:rPr>
          <w:rFonts w:ascii="Arial" w:eastAsia="Arial" w:hAnsi="Arial" w:cs="Arial"/>
          <w:color w:val="000000"/>
          <w:sz w:val="24"/>
          <w:szCs w:val="24"/>
        </w:rPr>
        <w:t>A fixed annual price for all services defined in the Call Off Contract.  This fixed price will be based on defined volumes.</w:t>
      </w:r>
    </w:p>
    <w:p w:rsidR="000E07F6" w:rsidRDefault="00D60FD9">
      <w:pPr>
        <w:widowControl/>
        <w:shd w:val="clear" w:color="auto" w:fill="FFFFFF"/>
        <w:tabs>
          <w:tab w:val="left" w:pos="851"/>
        </w:tabs>
        <w:rPr>
          <w:rFonts w:ascii="Arial" w:eastAsia="Arial" w:hAnsi="Arial" w:cs="Arial"/>
          <w:color w:val="000000"/>
          <w:sz w:val="24"/>
          <w:szCs w:val="24"/>
        </w:rPr>
      </w:pPr>
      <w:r>
        <w:rPr>
          <w:rFonts w:ascii="Arial" w:eastAsia="Arial" w:hAnsi="Arial" w:cs="Arial"/>
          <w:color w:val="000000"/>
          <w:sz w:val="24"/>
          <w:szCs w:val="24"/>
        </w:rPr>
        <w:t xml:space="preserve"> </w:t>
      </w:r>
    </w:p>
    <w:p w:rsidR="000E07F6" w:rsidRDefault="00D60FD9">
      <w:pPr>
        <w:widowControl/>
        <w:shd w:val="clear" w:color="auto" w:fill="FFFFFF"/>
        <w:tabs>
          <w:tab w:val="left" w:pos="851"/>
        </w:tabs>
        <w:rPr>
          <w:rFonts w:ascii="Arial" w:eastAsia="Arial" w:hAnsi="Arial" w:cs="Arial"/>
          <w:color w:val="000000"/>
          <w:sz w:val="24"/>
          <w:szCs w:val="24"/>
        </w:rPr>
      </w:pPr>
      <w:r>
        <w:rPr>
          <w:rFonts w:ascii="Arial" w:eastAsia="Arial" w:hAnsi="Arial" w:cs="Arial"/>
          <w:b/>
          <w:color w:val="000000"/>
          <w:sz w:val="24"/>
          <w:szCs w:val="24"/>
        </w:rPr>
        <w:t>FTE based pricing</w:t>
      </w:r>
    </w:p>
    <w:p w:rsidR="000E07F6" w:rsidRDefault="00D60FD9">
      <w:pPr>
        <w:widowControl/>
        <w:shd w:val="clear" w:color="auto" w:fill="FFFFFF"/>
        <w:tabs>
          <w:tab w:val="left" w:pos="851"/>
        </w:tabs>
        <w:rPr>
          <w:rFonts w:ascii="Arial" w:eastAsia="Arial" w:hAnsi="Arial" w:cs="Arial"/>
          <w:color w:val="000000"/>
          <w:sz w:val="24"/>
          <w:szCs w:val="24"/>
        </w:rPr>
      </w:pPr>
      <w:r>
        <w:rPr>
          <w:rFonts w:ascii="Arial" w:eastAsia="Arial" w:hAnsi="Arial" w:cs="Arial"/>
          <w:color w:val="000000"/>
          <w:sz w:val="24"/>
          <w:szCs w:val="24"/>
        </w:rPr>
        <w:t>A fixed price per agent per day. This agent rate may be a total inclusive price, covering all components of contract costs, including but not limited to, staff, premises, technology. Or a pure agent cost including staff overheads with other line items charged separately.</w:t>
      </w:r>
    </w:p>
    <w:p w:rsidR="000E07F6" w:rsidRDefault="00D60FD9">
      <w:pPr>
        <w:widowControl/>
        <w:shd w:val="clear" w:color="auto" w:fill="FFFFFF"/>
        <w:tabs>
          <w:tab w:val="left" w:pos="851"/>
        </w:tabs>
        <w:rPr>
          <w:rFonts w:ascii="Arial" w:eastAsia="Arial" w:hAnsi="Arial" w:cs="Arial"/>
          <w:color w:val="000000"/>
          <w:sz w:val="24"/>
          <w:szCs w:val="24"/>
        </w:rPr>
      </w:pPr>
      <w:r>
        <w:rPr>
          <w:rFonts w:ascii="Arial" w:eastAsia="Arial" w:hAnsi="Arial" w:cs="Arial"/>
          <w:color w:val="000000"/>
          <w:sz w:val="24"/>
          <w:szCs w:val="24"/>
        </w:rPr>
        <w:t xml:space="preserve"> </w:t>
      </w:r>
    </w:p>
    <w:p w:rsidR="000E07F6" w:rsidRDefault="00D60FD9">
      <w:pPr>
        <w:widowControl/>
        <w:shd w:val="clear" w:color="auto" w:fill="FFFFFF"/>
        <w:tabs>
          <w:tab w:val="left" w:pos="851"/>
        </w:tabs>
        <w:rPr>
          <w:rFonts w:ascii="Arial" w:eastAsia="Arial" w:hAnsi="Arial" w:cs="Arial"/>
          <w:color w:val="000000"/>
          <w:sz w:val="24"/>
          <w:szCs w:val="24"/>
        </w:rPr>
      </w:pPr>
      <w:r>
        <w:rPr>
          <w:rFonts w:ascii="Arial" w:eastAsia="Arial" w:hAnsi="Arial" w:cs="Arial"/>
          <w:b/>
          <w:color w:val="000000"/>
          <w:sz w:val="24"/>
          <w:szCs w:val="24"/>
        </w:rPr>
        <w:t>Volume</w:t>
      </w:r>
    </w:p>
    <w:p w:rsidR="000E07F6" w:rsidRDefault="00D60FD9">
      <w:pPr>
        <w:widowControl/>
        <w:shd w:val="clear" w:color="auto" w:fill="FFFFFF"/>
        <w:tabs>
          <w:tab w:val="left" w:pos="851"/>
        </w:tabs>
        <w:rPr>
          <w:rFonts w:ascii="Arial" w:eastAsia="Arial" w:hAnsi="Arial" w:cs="Arial"/>
          <w:color w:val="000000"/>
          <w:sz w:val="24"/>
          <w:szCs w:val="24"/>
        </w:rPr>
      </w:pPr>
      <w:r>
        <w:rPr>
          <w:rFonts w:ascii="Arial" w:eastAsia="Arial" w:hAnsi="Arial" w:cs="Arial"/>
          <w:color w:val="000000"/>
          <w:sz w:val="24"/>
          <w:szCs w:val="24"/>
        </w:rPr>
        <w:t>A per transaction cost whereby the Supplier charges for services based on the number/volume of transactions processed. A threshold principle maybe agreed whereby the per transaction cost is reduced proportionally for higher volumes.</w:t>
      </w:r>
    </w:p>
    <w:p w:rsidR="000E07F6" w:rsidRDefault="00D60FD9">
      <w:pPr>
        <w:widowControl/>
        <w:shd w:val="clear" w:color="auto" w:fill="FFFFFF"/>
        <w:tabs>
          <w:tab w:val="left" w:pos="851"/>
        </w:tabs>
        <w:rPr>
          <w:rFonts w:ascii="Arial" w:eastAsia="Arial" w:hAnsi="Arial" w:cs="Arial"/>
          <w:color w:val="000000"/>
          <w:sz w:val="24"/>
          <w:szCs w:val="24"/>
        </w:rPr>
      </w:pPr>
      <w:r>
        <w:rPr>
          <w:rFonts w:ascii="Arial" w:eastAsia="Arial" w:hAnsi="Arial" w:cs="Arial"/>
          <w:color w:val="000000"/>
          <w:sz w:val="24"/>
          <w:szCs w:val="24"/>
        </w:rPr>
        <w:t xml:space="preserve"> </w:t>
      </w:r>
    </w:p>
    <w:p w:rsidR="000E07F6" w:rsidRDefault="00D60FD9">
      <w:pPr>
        <w:widowControl/>
        <w:shd w:val="clear" w:color="auto" w:fill="FFFFFF"/>
        <w:tabs>
          <w:tab w:val="left" w:pos="851"/>
        </w:tabs>
        <w:rPr>
          <w:rFonts w:ascii="Arial" w:eastAsia="Arial" w:hAnsi="Arial" w:cs="Arial"/>
          <w:b/>
          <w:color w:val="000000"/>
          <w:sz w:val="24"/>
          <w:szCs w:val="24"/>
        </w:rPr>
      </w:pPr>
      <w:r>
        <w:rPr>
          <w:rFonts w:ascii="Arial" w:eastAsia="Arial" w:hAnsi="Arial" w:cs="Arial"/>
          <w:b/>
          <w:color w:val="000000"/>
          <w:sz w:val="24"/>
          <w:szCs w:val="24"/>
        </w:rPr>
        <w:t>Outcome based pricing</w:t>
      </w:r>
    </w:p>
    <w:p w:rsidR="000E07F6" w:rsidRDefault="00D60FD9">
      <w:pPr>
        <w:widowControl/>
        <w:shd w:val="clear" w:color="auto" w:fill="FFFFFF"/>
        <w:tabs>
          <w:tab w:val="left" w:pos="851"/>
        </w:tabs>
        <w:rPr>
          <w:rFonts w:ascii="Arial" w:eastAsia="Arial" w:hAnsi="Arial" w:cs="Arial"/>
          <w:color w:val="000000"/>
          <w:sz w:val="24"/>
          <w:szCs w:val="24"/>
        </w:rPr>
      </w:pPr>
      <w:r>
        <w:rPr>
          <w:rFonts w:ascii="Arial" w:eastAsia="Arial" w:hAnsi="Arial" w:cs="Arial"/>
          <w:color w:val="000000"/>
          <w:sz w:val="24"/>
          <w:szCs w:val="24"/>
        </w:rPr>
        <w:t>This is results based pricing whereby the supplier charges based on results. Results may be defined by service level or KPI performance.</w:t>
      </w:r>
    </w:p>
    <w:p w:rsidR="000E07F6" w:rsidRDefault="00D60FD9">
      <w:pPr>
        <w:widowControl/>
        <w:shd w:val="clear" w:color="auto" w:fill="FFFFFF"/>
        <w:tabs>
          <w:tab w:val="left" w:pos="851"/>
        </w:tabs>
        <w:rPr>
          <w:rFonts w:ascii="Arial" w:eastAsia="Arial" w:hAnsi="Arial" w:cs="Arial"/>
          <w:color w:val="000000"/>
          <w:sz w:val="24"/>
          <w:szCs w:val="24"/>
        </w:rPr>
      </w:pPr>
      <w:r>
        <w:rPr>
          <w:rFonts w:ascii="Arial" w:eastAsia="Arial" w:hAnsi="Arial" w:cs="Arial"/>
          <w:color w:val="000000"/>
          <w:sz w:val="24"/>
          <w:szCs w:val="24"/>
        </w:rPr>
        <w:t xml:space="preserve"> </w:t>
      </w:r>
    </w:p>
    <w:p w:rsidR="000E07F6" w:rsidRDefault="00D60FD9">
      <w:pPr>
        <w:widowControl/>
        <w:shd w:val="clear" w:color="auto" w:fill="FFFFFF"/>
        <w:tabs>
          <w:tab w:val="left" w:pos="851"/>
        </w:tabs>
        <w:rPr>
          <w:rFonts w:ascii="Arial" w:eastAsia="Arial" w:hAnsi="Arial" w:cs="Arial"/>
          <w:b/>
          <w:color w:val="000000"/>
          <w:sz w:val="24"/>
          <w:szCs w:val="24"/>
        </w:rPr>
      </w:pPr>
      <w:r>
        <w:rPr>
          <w:rFonts w:ascii="Arial" w:eastAsia="Arial" w:hAnsi="Arial" w:cs="Arial"/>
          <w:b/>
          <w:color w:val="000000"/>
          <w:sz w:val="24"/>
          <w:szCs w:val="24"/>
        </w:rPr>
        <w:t>Cap &amp; Collar</w:t>
      </w:r>
    </w:p>
    <w:p w:rsidR="000E07F6" w:rsidRDefault="00D60FD9">
      <w:pPr>
        <w:widowControl/>
        <w:shd w:val="clear" w:color="auto" w:fill="FFFFFF"/>
        <w:tabs>
          <w:tab w:val="left" w:pos="851"/>
        </w:tabs>
        <w:rPr>
          <w:rFonts w:ascii="Arial" w:eastAsia="Arial" w:hAnsi="Arial" w:cs="Arial"/>
          <w:color w:val="000000"/>
          <w:sz w:val="24"/>
          <w:szCs w:val="24"/>
        </w:rPr>
      </w:pPr>
      <w:r>
        <w:rPr>
          <w:rFonts w:ascii="Arial" w:eastAsia="Arial" w:hAnsi="Arial" w:cs="Arial"/>
          <w:color w:val="000000"/>
          <w:sz w:val="24"/>
          <w:szCs w:val="24"/>
        </w:rPr>
        <w:t>This is where maximum and minimum pricing is agreed. This may be linked to volume or FTE based parameters.</w:t>
      </w:r>
    </w:p>
    <w:p w:rsidR="000E07F6" w:rsidRDefault="00D60FD9">
      <w:pPr>
        <w:widowControl/>
        <w:shd w:val="clear" w:color="auto" w:fill="FFFFFF"/>
        <w:tabs>
          <w:tab w:val="left" w:pos="851"/>
        </w:tabs>
        <w:rPr>
          <w:rFonts w:ascii="Arial" w:eastAsia="Arial" w:hAnsi="Arial" w:cs="Arial"/>
          <w:color w:val="000000"/>
          <w:sz w:val="24"/>
          <w:szCs w:val="24"/>
        </w:rPr>
      </w:pPr>
      <w:r>
        <w:rPr>
          <w:rFonts w:ascii="Arial" w:eastAsia="Arial" w:hAnsi="Arial" w:cs="Arial"/>
          <w:color w:val="000000"/>
          <w:sz w:val="24"/>
          <w:szCs w:val="24"/>
        </w:rPr>
        <w:t xml:space="preserve"> </w:t>
      </w:r>
    </w:p>
    <w:p w:rsidR="000E07F6" w:rsidRDefault="00D60FD9">
      <w:pPr>
        <w:widowControl/>
        <w:shd w:val="clear" w:color="auto" w:fill="FFFFFF"/>
        <w:tabs>
          <w:tab w:val="left" w:pos="851"/>
        </w:tabs>
        <w:rPr>
          <w:rFonts w:ascii="Arial" w:eastAsia="Arial" w:hAnsi="Arial" w:cs="Arial"/>
          <w:b/>
          <w:color w:val="000000"/>
          <w:sz w:val="24"/>
          <w:szCs w:val="24"/>
        </w:rPr>
      </w:pPr>
      <w:r>
        <w:rPr>
          <w:rFonts w:ascii="Arial" w:eastAsia="Arial" w:hAnsi="Arial" w:cs="Arial"/>
          <w:b/>
          <w:color w:val="000000"/>
          <w:sz w:val="24"/>
          <w:szCs w:val="24"/>
        </w:rPr>
        <w:t>Gain share</w:t>
      </w:r>
    </w:p>
    <w:p w:rsidR="000E07F6" w:rsidRDefault="00D60FD9">
      <w:pPr>
        <w:widowControl/>
        <w:shd w:val="clear" w:color="auto" w:fill="FFFFFF"/>
        <w:tabs>
          <w:tab w:val="left" w:pos="851"/>
        </w:tabs>
        <w:rPr>
          <w:rFonts w:ascii="Arial" w:eastAsia="Arial" w:hAnsi="Arial" w:cs="Arial"/>
          <w:color w:val="000000"/>
          <w:sz w:val="24"/>
          <w:szCs w:val="24"/>
        </w:rPr>
      </w:pPr>
      <w:r>
        <w:rPr>
          <w:rFonts w:ascii="Arial" w:eastAsia="Arial" w:hAnsi="Arial" w:cs="Arial"/>
          <w:color w:val="000000"/>
          <w:sz w:val="24"/>
          <w:szCs w:val="24"/>
        </w:rPr>
        <w:t>This is where the Contracting Authority and Supplier jointly share the benefits delivered through the contract as a result of innovation, new technologies, channel shift or other opportunities identified.</w:t>
      </w:r>
    </w:p>
    <w:p w:rsidR="000E07F6" w:rsidRDefault="00D60FD9">
      <w:pPr>
        <w:widowControl/>
        <w:shd w:val="clear" w:color="auto" w:fill="FFFFFF"/>
        <w:tabs>
          <w:tab w:val="left" w:pos="851"/>
        </w:tabs>
        <w:rPr>
          <w:rFonts w:ascii="Arial" w:eastAsia="Arial" w:hAnsi="Arial" w:cs="Arial"/>
          <w:color w:val="000000"/>
          <w:sz w:val="24"/>
          <w:szCs w:val="24"/>
        </w:rPr>
      </w:pPr>
      <w:r>
        <w:rPr>
          <w:rFonts w:ascii="Arial" w:eastAsia="Arial" w:hAnsi="Arial" w:cs="Arial"/>
          <w:color w:val="000000"/>
          <w:sz w:val="24"/>
          <w:szCs w:val="24"/>
        </w:rPr>
        <w:t xml:space="preserve"> </w:t>
      </w:r>
    </w:p>
    <w:p w:rsidR="000E07F6" w:rsidRDefault="00D60FD9">
      <w:pPr>
        <w:widowControl/>
        <w:shd w:val="clear" w:color="auto" w:fill="FFFFFF"/>
        <w:tabs>
          <w:tab w:val="left" w:pos="851"/>
        </w:tabs>
        <w:rPr>
          <w:rFonts w:ascii="Arial" w:eastAsia="Arial" w:hAnsi="Arial" w:cs="Arial"/>
          <w:b/>
          <w:color w:val="000000"/>
          <w:sz w:val="24"/>
          <w:szCs w:val="24"/>
        </w:rPr>
      </w:pPr>
      <w:r>
        <w:rPr>
          <w:rFonts w:ascii="Arial" w:eastAsia="Arial" w:hAnsi="Arial" w:cs="Arial"/>
          <w:b/>
          <w:color w:val="000000"/>
          <w:sz w:val="24"/>
          <w:szCs w:val="24"/>
        </w:rPr>
        <w:t>Risk / Reward</w:t>
      </w:r>
    </w:p>
    <w:p w:rsidR="000E07F6" w:rsidRDefault="00D60FD9">
      <w:pPr>
        <w:widowControl/>
        <w:shd w:val="clear" w:color="auto" w:fill="FFFFFF"/>
        <w:tabs>
          <w:tab w:val="left" w:pos="851"/>
        </w:tabs>
        <w:rPr>
          <w:rFonts w:ascii="Arial" w:eastAsia="Arial" w:hAnsi="Arial" w:cs="Arial"/>
          <w:color w:val="000000"/>
          <w:sz w:val="24"/>
          <w:szCs w:val="24"/>
        </w:rPr>
      </w:pPr>
      <w:r>
        <w:rPr>
          <w:rFonts w:ascii="Arial" w:eastAsia="Arial" w:hAnsi="Arial" w:cs="Arial"/>
          <w:color w:val="000000"/>
          <w:sz w:val="24"/>
          <w:szCs w:val="24"/>
        </w:rPr>
        <w:t>The Supplier and Contracting Authority jointly fund the development of new products, solutions, and services with the Supplier sharing in rewards for a defined period of time if delivery is successful.</w:t>
      </w:r>
    </w:p>
    <w:p w:rsidR="000E07F6" w:rsidRDefault="00D60FD9">
      <w:pPr>
        <w:widowControl/>
        <w:shd w:val="clear" w:color="auto" w:fill="FFFFFF"/>
        <w:tabs>
          <w:tab w:val="left" w:pos="851"/>
        </w:tabs>
        <w:rPr>
          <w:rFonts w:ascii="Arial" w:eastAsia="Arial" w:hAnsi="Arial" w:cs="Arial"/>
          <w:color w:val="000000"/>
          <w:sz w:val="24"/>
          <w:szCs w:val="24"/>
        </w:rPr>
      </w:pPr>
      <w:r>
        <w:rPr>
          <w:rFonts w:ascii="Arial" w:eastAsia="Arial" w:hAnsi="Arial" w:cs="Arial"/>
          <w:color w:val="000000"/>
          <w:sz w:val="24"/>
          <w:szCs w:val="24"/>
        </w:rPr>
        <w:t xml:space="preserve"> </w:t>
      </w:r>
    </w:p>
    <w:p w:rsidR="000E07F6" w:rsidRDefault="00D60FD9">
      <w:pPr>
        <w:widowControl/>
        <w:shd w:val="clear" w:color="auto" w:fill="FFFFFF"/>
        <w:tabs>
          <w:tab w:val="left" w:pos="851"/>
        </w:tabs>
        <w:rPr>
          <w:rFonts w:ascii="Arial" w:eastAsia="Arial" w:hAnsi="Arial" w:cs="Arial"/>
          <w:b/>
          <w:color w:val="000000"/>
          <w:sz w:val="24"/>
          <w:szCs w:val="24"/>
        </w:rPr>
      </w:pPr>
      <w:r>
        <w:rPr>
          <w:rFonts w:ascii="Arial" w:eastAsia="Arial" w:hAnsi="Arial" w:cs="Arial"/>
          <w:b/>
          <w:color w:val="000000"/>
          <w:sz w:val="24"/>
          <w:szCs w:val="24"/>
        </w:rPr>
        <w:t>Incentive based pricing</w:t>
      </w:r>
    </w:p>
    <w:p w:rsidR="000E07F6" w:rsidRDefault="00D60FD9">
      <w:pPr>
        <w:widowControl/>
        <w:shd w:val="clear" w:color="auto" w:fill="FFFFFF"/>
        <w:tabs>
          <w:tab w:val="left" w:pos="851"/>
        </w:tabs>
        <w:rPr>
          <w:rFonts w:ascii="Arial" w:eastAsia="Arial" w:hAnsi="Arial" w:cs="Arial"/>
          <w:color w:val="000000"/>
          <w:sz w:val="24"/>
          <w:szCs w:val="24"/>
        </w:rPr>
      </w:pPr>
      <w:r>
        <w:rPr>
          <w:rFonts w:ascii="Arial" w:eastAsia="Arial" w:hAnsi="Arial" w:cs="Arial"/>
          <w:color w:val="000000"/>
          <w:sz w:val="24"/>
          <w:szCs w:val="24"/>
        </w:rPr>
        <w:t>Bonus payments are made to the Supplier for achieving specific performance levels above the contract's service level agreements. This may be used in conjunction with an alternative pricing model such as fixed price.</w:t>
      </w:r>
    </w:p>
    <w:p w:rsidR="000E07F6" w:rsidRDefault="000E07F6">
      <w:pPr>
        <w:widowControl/>
        <w:pBdr>
          <w:top w:val="nil"/>
          <w:left w:val="nil"/>
          <w:bottom w:val="nil"/>
          <w:right w:val="nil"/>
          <w:between w:val="nil"/>
        </w:pBdr>
        <w:tabs>
          <w:tab w:val="left" w:pos="851"/>
        </w:tabs>
        <w:spacing w:after="240"/>
        <w:jc w:val="both"/>
      </w:pPr>
    </w:p>
    <w:p w:rsidR="000E07F6" w:rsidRDefault="000E07F6">
      <w:pPr>
        <w:widowControl/>
        <w:pBdr>
          <w:top w:val="nil"/>
          <w:left w:val="nil"/>
          <w:bottom w:val="nil"/>
          <w:right w:val="nil"/>
          <w:between w:val="nil"/>
        </w:pBdr>
        <w:tabs>
          <w:tab w:val="left" w:pos="851"/>
        </w:tabs>
        <w:spacing w:after="240"/>
        <w:jc w:val="both"/>
        <w:rPr>
          <w:rFonts w:ascii="Arial" w:eastAsia="Arial" w:hAnsi="Arial" w:cs="Arial"/>
          <w:b/>
          <w:sz w:val="24"/>
          <w:szCs w:val="24"/>
        </w:rPr>
      </w:pPr>
    </w:p>
    <w:sdt>
      <w:sdtPr>
        <w:tag w:val="goog_rdk_1"/>
        <w:id w:val="-262157481"/>
      </w:sdtPr>
      <w:sdtEndPr/>
      <w:sdtContent>
        <w:p w:rsidR="000E07F6" w:rsidRDefault="00D60FD9">
          <w:pPr>
            <w:widowControl/>
            <w:pBdr>
              <w:top w:val="nil"/>
              <w:left w:val="nil"/>
              <w:bottom w:val="nil"/>
              <w:right w:val="nil"/>
              <w:between w:val="nil"/>
            </w:pBdr>
            <w:tabs>
              <w:tab w:val="left" w:pos="851"/>
            </w:tabs>
            <w:jc w:val="both"/>
            <w:rPr>
              <w:rFonts w:ascii="Arial" w:eastAsia="Arial" w:hAnsi="Arial" w:cs="Arial"/>
              <w:b/>
              <w:sz w:val="24"/>
              <w:szCs w:val="24"/>
            </w:rPr>
          </w:pPr>
          <w:r>
            <w:rPr>
              <w:rFonts w:ascii="Arial" w:eastAsia="Arial" w:hAnsi="Arial" w:cs="Arial"/>
              <w:b/>
              <w:sz w:val="24"/>
              <w:szCs w:val="24"/>
            </w:rPr>
            <w:t>Time &amp; Materials</w:t>
          </w:r>
        </w:p>
      </w:sdtContent>
    </w:sdt>
    <w:p w:rsidR="000E07F6" w:rsidRDefault="00D60FD9">
      <w:pPr>
        <w:widowControl/>
        <w:pBdr>
          <w:top w:val="nil"/>
          <w:left w:val="nil"/>
          <w:bottom w:val="nil"/>
          <w:right w:val="nil"/>
          <w:between w:val="nil"/>
        </w:pBdr>
        <w:tabs>
          <w:tab w:val="left" w:pos="851"/>
        </w:tabs>
        <w:jc w:val="both"/>
        <w:rPr>
          <w:rFonts w:ascii="Arial" w:eastAsia="Arial" w:hAnsi="Arial" w:cs="Arial"/>
          <w:color w:val="202124"/>
          <w:sz w:val="24"/>
          <w:szCs w:val="24"/>
          <w:highlight w:val="white"/>
        </w:rPr>
      </w:pPr>
      <w:r>
        <w:rPr>
          <w:rFonts w:ascii="Arial" w:eastAsia="Arial" w:hAnsi="Arial" w:cs="Arial"/>
          <w:color w:val="202124"/>
          <w:sz w:val="24"/>
          <w:szCs w:val="24"/>
          <w:highlight w:val="white"/>
        </w:rPr>
        <w:t>Charging based on the amount of time spent on a contract by the supplier in addition to the costs of necessary materials to deliver.</w:t>
      </w:r>
    </w:p>
    <w:p w:rsidR="000E07F6" w:rsidRDefault="000E07F6">
      <w:pPr>
        <w:widowControl/>
        <w:rPr>
          <w:rFonts w:ascii="Times New Roman" w:eastAsia="Times New Roman" w:hAnsi="Times New Roman" w:cs="Times New Roman"/>
          <w:sz w:val="24"/>
          <w:szCs w:val="24"/>
        </w:rPr>
      </w:pPr>
    </w:p>
    <w:sdt>
      <w:sdtPr>
        <w:tag w:val="goog_rdk_2"/>
        <w:id w:val="989592043"/>
      </w:sdtPr>
      <w:sdtEndPr/>
      <w:sdtContent>
        <w:p w:rsidR="000E07F6" w:rsidRDefault="00D60FD9">
          <w:pPr>
            <w:widowControl/>
            <w:rPr>
              <w:rFonts w:ascii="Times New Roman" w:eastAsia="Times New Roman" w:hAnsi="Times New Roman" w:cs="Times New Roman"/>
              <w:sz w:val="24"/>
              <w:szCs w:val="24"/>
            </w:rPr>
          </w:pPr>
          <w:r>
            <w:rPr>
              <w:rFonts w:ascii="Arial" w:eastAsia="Arial" w:hAnsi="Arial" w:cs="Arial"/>
              <w:b/>
              <w:color w:val="202124"/>
              <w:sz w:val="24"/>
              <w:szCs w:val="24"/>
              <w:highlight w:val="white"/>
            </w:rPr>
            <w:t>Cost Plus</w:t>
          </w:r>
        </w:p>
      </w:sdtContent>
    </w:sdt>
    <w:p w:rsidR="000E07F6" w:rsidRDefault="00D60FD9">
      <w:pPr>
        <w:widowControl/>
        <w:rPr>
          <w:rFonts w:ascii="Times New Roman" w:eastAsia="Times New Roman" w:hAnsi="Times New Roman" w:cs="Times New Roman"/>
          <w:sz w:val="24"/>
          <w:szCs w:val="24"/>
        </w:rPr>
      </w:pPr>
      <w:r>
        <w:rPr>
          <w:rFonts w:ascii="Arial" w:eastAsia="Arial" w:hAnsi="Arial" w:cs="Arial"/>
          <w:sz w:val="24"/>
          <w:szCs w:val="24"/>
        </w:rPr>
        <w:t>The direct material cost, direct labour cost, and overhead costs for a product are added up and added to a mark-up percentage (to create a profit margin) in order to derive the price of the product</w:t>
      </w: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pBdr>
          <w:top w:val="nil"/>
          <w:left w:val="nil"/>
          <w:bottom w:val="nil"/>
          <w:right w:val="nil"/>
          <w:between w:val="nil"/>
        </w:pBdr>
        <w:jc w:val="both"/>
        <w:rPr>
          <w:rFonts w:ascii="Arial" w:eastAsia="Arial" w:hAnsi="Arial" w:cs="Arial"/>
          <w:color w:val="FFFFFF"/>
          <w:sz w:val="24"/>
          <w:szCs w:val="24"/>
        </w:rPr>
      </w:pPr>
    </w:p>
    <w:sectPr w:rsidR="000E07F6">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1CE9" w:rsidRDefault="00751CE9">
      <w:r>
        <w:separator/>
      </w:r>
    </w:p>
  </w:endnote>
  <w:endnote w:type="continuationSeparator" w:id="0">
    <w:p w:rsidR="00751CE9" w:rsidRDefault="00751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STZhongsong">
    <w:altName w:val="Arial Unicode MS"/>
    <w:charset w:val="86"/>
    <w:family w:val="auto"/>
    <w:pitch w:val="variable"/>
    <w:sig w:usb0="00000287" w:usb1="080F0000" w:usb2="00000010" w:usb3="00000000" w:csb0="0004009F" w:csb1="00000000"/>
  </w:font>
  <w:font w:name="Arial Bold">
    <w:altName w:val="Arial"/>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altName w:val="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07F6" w:rsidRDefault="00D60FD9">
    <w:pPr>
      <w:tabs>
        <w:tab w:val="center" w:pos="4513"/>
        <w:tab w:val="right" w:pos="9026"/>
      </w:tabs>
      <w:rPr>
        <w:rFonts w:ascii="Arial" w:eastAsia="Arial" w:hAnsi="Arial" w:cs="Arial"/>
        <w:sz w:val="20"/>
        <w:szCs w:val="20"/>
      </w:rPr>
    </w:pPr>
    <w:r>
      <w:rPr>
        <w:rFonts w:ascii="Arial" w:eastAsia="Arial" w:hAnsi="Arial" w:cs="Arial"/>
        <w:sz w:val="20"/>
        <w:szCs w:val="20"/>
      </w:rPr>
      <w:t xml:space="preserve">Framework Ref: RM6181                                           </w:t>
    </w:r>
  </w:p>
  <w:p w:rsidR="000E07F6" w:rsidRDefault="00D60FD9">
    <w:pPr>
      <w:widowControl/>
      <w:pBdr>
        <w:top w:val="nil"/>
        <w:left w:val="nil"/>
        <w:bottom w:val="nil"/>
        <w:right w:val="nil"/>
        <w:between w:val="nil"/>
      </w:pBdr>
      <w:tabs>
        <w:tab w:val="center" w:pos="4513"/>
        <w:tab w:val="right" w:pos="9026"/>
      </w:tabs>
      <w:rPr>
        <w:rFonts w:ascii="Arial" w:eastAsia="Arial" w:hAnsi="Arial" w:cs="Arial"/>
        <w:color w:val="000000"/>
        <w:sz w:val="20"/>
        <w:szCs w:val="20"/>
      </w:rPr>
    </w:pPr>
    <w:r>
      <w:rPr>
        <w:rFonts w:ascii="Arial" w:eastAsia="Arial" w:hAnsi="Arial" w:cs="Arial"/>
        <w:color w:val="000000"/>
        <w:sz w:val="20"/>
        <w:szCs w:val="20"/>
      </w:rPr>
      <w:t>Project Version: v</w:t>
    </w:r>
    <w:r w:rsidR="000349E5">
      <w:rPr>
        <w:rFonts w:ascii="Arial" w:eastAsia="Arial" w:hAnsi="Arial" w:cs="Arial"/>
        <w:color w:val="000000"/>
        <w:sz w:val="20"/>
        <w:szCs w:val="20"/>
      </w:rPr>
      <w:t>2</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0D16AD">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0E07F6" w:rsidRDefault="00D60FD9">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Model Version : v3.1</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07F6" w:rsidRDefault="000E07F6">
    <w:pPr>
      <w:widowControl/>
      <w:pBdr>
        <w:top w:val="nil"/>
        <w:left w:val="nil"/>
        <w:bottom w:val="nil"/>
        <w:right w:val="nil"/>
        <w:between w:val="nil"/>
      </w:pBdr>
      <w:tabs>
        <w:tab w:val="center" w:pos="4513"/>
        <w:tab w:val="right" w:pos="9026"/>
      </w:tabs>
      <w:jc w:val="both"/>
      <w:rPr>
        <w:color w:val="000000"/>
      </w:rPr>
    </w:pPr>
  </w:p>
  <w:p w:rsidR="000E07F6" w:rsidRDefault="00D60FD9">
    <w:pPr>
      <w:tabs>
        <w:tab w:val="center" w:pos="4513"/>
        <w:tab w:val="right" w:pos="9026"/>
      </w:tabs>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r>
  </w:p>
  <w:p w:rsidR="000E07F6" w:rsidRDefault="00D60FD9">
    <w:pPr>
      <w:tabs>
        <w:tab w:val="center" w:pos="4513"/>
        <w:tab w:val="right" w:pos="9026"/>
      </w:tabs>
      <w:rPr>
        <w:rFonts w:ascii="Arial" w:eastAsia="Arial" w:hAnsi="Arial" w:cs="Arial"/>
        <w:sz w:val="20"/>
        <w:szCs w:val="20"/>
      </w:rPr>
    </w:pPr>
    <w:r>
      <w:rPr>
        <w:rFonts w:ascii="Arial" w:eastAsia="Arial" w:hAnsi="Arial" w:cs="Arial"/>
        <w:sz w:val="20"/>
        <w:szCs w:val="20"/>
      </w:rPr>
      <w:t>Project Version: 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end"/>
    </w:r>
  </w:p>
  <w:p w:rsidR="000E07F6" w:rsidRDefault="00D60FD9">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Model Version :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1CE9" w:rsidRDefault="00751CE9">
      <w:r>
        <w:separator/>
      </w:r>
    </w:p>
  </w:footnote>
  <w:footnote w:type="continuationSeparator" w:id="0">
    <w:p w:rsidR="00751CE9" w:rsidRDefault="00751CE9">
      <w:r>
        <w:continuationSeparator/>
      </w:r>
    </w:p>
  </w:footnote>
  <w:footnote w:id="1">
    <w:p w:rsidR="000E07F6" w:rsidRDefault="00D60FD9">
      <w:pPr>
        <w:rPr>
          <w:sz w:val="20"/>
          <w:szCs w:val="20"/>
        </w:rPr>
      </w:pPr>
      <w:r>
        <w:rPr>
          <w:vertAlign w:val="superscript"/>
        </w:rPr>
        <w:footnoteRef/>
      </w:r>
      <w:r>
        <w:rPr>
          <w:sz w:val="20"/>
          <w:szCs w:val="20"/>
        </w:rPr>
        <w:t xml:space="preserve">Under </w:t>
      </w:r>
      <w:hyperlink r:id="rId1">
        <w:r>
          <w:rPr>
            <w:color w:val="1155CC"/>
            <w:sz w:val="20"/>
            <w:szCs w:val="20"/>
            <w:u w:val="single"/>
          </w:rPr>
          <w:t>PPN 06/20</w:t>
        </w:r>
      </w:hyperlink>
      <w:r>
        <w:rPr>
          <w:sz w:val="20"/>
          <w:szCs w:val="20"/>
        </w:rPr>
        <w:t xml:space="preserve">, some Buyers are required to evaluate Social Value at call off stage with a minimum weighting of 10%. </w:t>
      </w:r>
    </w:p>
  </w:footnote>
  <w:footnote w:id="2">
    <w:p w:rsidR="000E07F6" w:rsidRDefault="00D60FD9">
      <w:pPr>
        <w:rPr>
          <w:sz w:val="20"/>
          <w:szCs w:val="20"/>
        </w:rPr>
      </w:pPr>
      <w:r>
        <w:rPr>
          <w:vertAlign w:val="superscript"/>
        </w:rPr>
        <w:footnoteRef/>
      </w:r>
      <w:r>
        <w:rPr>
          <w:sz w:val="20"/>
          <w:szCs w:val="20"/>
        </w:rPr>
        <w:t xml:space="preserve"> Under </w:t>
      </w:r>
      <w:hyperlink r:id="rId2">
        <w:r>
          <w:rPr>
            <w:sz w:val="20"/>
            <w:szCs w:val="20"/>
          </w:rPr>
          <w:t>PPN 06/20</w:t>
        </w:r>
      </w:hyperlink>
      <w:r>
        <w:rPr>
          <w:sz w:val="20"/>
          <w:szCs w:val="20"/>
        </w:rPr>
        <w:t xml:space="preserve">, some Buyers are required to evaluate Social Value at call off stage with a minimum weighting of 10%. </w:t>
      </w:r>
    </w:p>
  </w:footnote>
  <w:footnote w:id="3">
    <w:p w:rsidR="000E07F6" w:rsidRDefault="00D60FD9">
      <w:pPr>
        <w:rPr>
          <w:sz w:val="20"/>
          <w:szCs w:val="20"/>
        </w:rPr>
      </w:pPr>
      <w:r>
        <w:rPr>
          <w:vertAlign w:val="superscript"/>
        </w:rPr>
        <w:footnoteRef/>
      </w:r>
      <w:r>
        <w:rPr>
          <w:sz w:val="20"/>
          <w:szCs w:val="20"/>
        </w:rPr>
        <w:t xml:space="preserve">  Under </w:t>
      </w:r>
      <w:hyperlink r:id="rId3">
        <w:r>
          <w:rPr>
            <w:sz w:val="20"/>
            <w:szCs w:val="20"/>
          </w:rPr>
          <w:t>PPN 06/20</w:t>
        </w:r>
      </w:hyperlink>
      <w:r>
        <w:rPr>
          <w:sz w:val="20"/>
          <w:szCs w:val="20"/>
        </w:rPr>
        <w:t xml:space="preserve">, some Buyers are required to evaluate Social Value at call off stage with a minimum weighting of 10%.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07F6" w:rsidRDefault="00D60FD9">
    <w:pPr>
      <w:widowControl/>
      <w:pBdr>
        <w:top w:val="nil"/>
        <w:left w:val="nil"/>
        <w:bottom w:val="nil"/>
        <w:right w:val="nil"/>
        <w:between w:val="nil"/>
      </w:pBdr>
      <w:tabs>
        <w:tab w:val="center" w:pos="4513"/>
        <w:tab w:val="right" w:pos="9026"/>
      </w:tabs>
      <w:jc w:val="both"/>
      <w:rPr>
        <w:rFonts w:ascii="Arial" w:eastAsia="Arial" w:hAnsi="Arial" w:cs="Arial"/>
        <w:b/>
        <w:color w:val="000000"/>
        <w:sz w:val="20"/>
        <w:szCs w:val="20"/>
      </w:rPr>
    </w:pPr>
    <w:r>
      <w:rPr>
        <w:rFonts w:ascii="Arial" w:eastAsia="Arial" w:hAnsi="Arial" w:cs="Arial"/>
        <w:b/>
        <w:color w:val="000000"/>
        <w:sz w:val="20"/>
        <w:szCs w:val="20"/>
      </w:rPr>
      <w:t>Framework Schedule 7 (Call-Off Award Procedure)</w:t>
    </w:r>
  </w:p>
  <w:p w:rsidR="000E07F6" w:rsidRDefault="00D60FD9">
    <w:pPr>
      <w:widowControl/>
      <w:pBdr>
        <w:top w:val="nil"/>
        <w:left w:val="nil"/>
        <w:bottom w:val="nil"/>
        <w:right w:val="nil"/>
        <w:between w:val="nil"/>
      </w:pBdr>
      <w:tabs>
        <w:tab w:val="center" w:pos="4513"/>
        <w:tab w:val="right" w:pos="9026"/>
      </w:tabs>
      <w:jc w:val="both"/>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07F6" w:rsidRDefault="00D60FD9">
    <w:pPr>
      <w:widowControl/>
      <w:pBdr>
        <w:top w:val="nil"/>
        <w:left w:val="nil"/>
        <w:bottom w:val="nil"/>
        <w:right w:val="nil"/>
        <w:between w:val="nil"/>
      </w:pBdr>
      <w:tabs>
        <w:tab w:val="center" w:pos="4513"/>
        <w:tab w:val="right" w:pos="9026"/>
      </w:tabs>
      <w:jc w:val="both"/>
      <w:rPr>
        <w:rFonts w:ascii="Arial" w:eastAsia="Arial" w:hAnsi="Arial" w:cs="Arial"/>
        <w:b/>
        <w:color w:val="BFBFBF"/>
        <w:sz w:val="20"/>
        <w:szCs w:val="20"/>
      </w:rPr>
    </w:pPr>
    <w:r>
      <w:rPr>
        <w:rFonts w:ascii="Arial" w:eastAsia="Arial" w:hAnsi="Arial" w:cs="Arial"/>
        <w:b/>
        <w:color w:val="BFBFBF"/>
        <w:sz w:val="20"/>
        <w:szCs w:val="20"/>
      </w:rPr>
      <w:t>Framework Schedule 7 (Call-Off Award Procedure)</w:t>
    </w:r>
  </w:p>
  <w:p w:rsidR="000E07F6" w:rsidRDefault="00D60FD9">
    <w:pPr>
      <w:widowControl/>
      <w:pBdr>
        <w:top w:val="nil"/>
        <w:left w:val="nil"/>
        <w:bottom w:val="nil"/>
        <w:right w:val="nil"/>
        <w:between w:val="nil"/>
      </w:pBdr>
      <w:tabs>
        <w:tab w:val="center" w:pos="4513"/>
        <w:tab w:val="right" w:pos="9026"/>
      </w:tabs>
      <w:jc w:val="both"/>
      <w:rPr>
        <w:rFonts w:ascii="Arial" w:eastAsia="Arial" w:hAnsi="Arial" w:cs="Arial"/>
        <w:color w:val="BFBFBF"/>
        <w:sz w:val="20"/>
        <w:szCs w:val="20"/>
      </w:rPr>
    </w:pPr>
    <w:r>
      <w:rPr>
        <w:rFonts w:ascii="Arial" w:eastAsia="Arial" w:hAnsi="Arial" w:cs="Arial"/>
        <w:color w:val="BFBFBF"/>
        <w:sz w:val="20"/>
        <w:szCs w:val="20"/>
      </w:rPr>
      <w:t>Crown Copyright 2018</w:t>
    </w:r>
  </w:p>
  <w:p w:rsidR="000E07F6" w:rsidRDefault="000E07F6">
    <w:pPr>
      <w:widowControl/>
      <w:pBdr>
        <w:top w:val="nil"/>
        <w:left w:val="nil"/>
        <w:bottom w:val="nil"/>
        <w:right w:val="nil"/>
        <w:between w:val="nil"/>
      </w:pBdr>
      <w:tabs>
        <w:tab w:val="center" w:pos="4513"/>
        <w:tab w:val="right" w:pos="9026"/>
      </w:tabs>
      <w:jc w:val="both"/>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DD297A"/>
    <w:multiLevelType w:val="multilevel"/>
    <w:tmpl w:val="DE18F21C"/>
    <w:lvl w:ilvl="0">
      <w:start w:val="1"/>
      <w:numFmt w:val="bullet"/>
      <w:lvlText w:val="●"/>
      <w:lvlJc w:val="left"/>
      <w:pPr>
        <w:ind w:left="960" w:hanging="360"/>
      </w:pPr>
      <w:rPr>
        <w:rFonts w:ascii="Noto Sans Symbols" w:eastAsia="Noto Sans Symbols" w:hAnsi="Noto Sans Symbols" w:cs="Noto Sans Symbols"/>
      </w:rPr>
    </w:lvl>
    <w:lvl w:ilvl="1">
      <w:start w:val="1"/>
      <w:numFmt w:val="bullet"/>
      <w:lvlText w:val="○"/>
      <w:lvlJc w:val="left"/>
      <w:pPr>
        <w:ind w:left="1680" w:hanging="360"/>
      </w:pPr>
      <w:rPr>
        <w:rFonts w:ascii="Courier New" w:eastAsia="Courier New" w:hAnsi="Courier New" w:cs="Courier New"/>
      </w:rPr>
    </w:lvl>
    <w:lvl w:ilvl="2">
      <w:start w:val="1"/>
      <w:numFmt w:val="bullet"/>
      <w:lvlText w:val="■"/>
      <w:lvlJc w:val="left"/>
      <w:pPr>
        <w:ind w:left="2400" w:hanging="360"/>
      </w:pPr>
      <w:rPr>
        <w:rFonts w:ascii="Noto Sans Symbols" w:eastAsia="Noto Sans Symbols" w:hAnsi="Noto Sans Symbols" w:cs="Noto Sans Symbols"/>
      </w:rPr>
    </w:lvl>
    <w:lvl w:ilvl="3">
      <w:start w:val="1"/>
      <w:numFmt w:val="bullet"/>
      <w:lvlText w:val="●"/>
      <w:lvlJc w:val="left"/>
      <w:pPr>
        <w:ind w:left="3120" w:hanging="360"/>
      </w:pPr>
      <w:rPr>
        <w:rFonts w:ascii="Noto Sans Symbols" w:eastAsia="Noto Sans Symbols" w:hAnsi="Noto Sans Symbols" w:cs="Noto Sans Symbols"/>
      </w:rPr>
    </w:lvl>
    <w:lvl w:ilvl="4">
      <w:start w:val="1"/>
      <w:numFmt w:val="bullet"/>
      <w:lvlText w:val="○"/>
      <w:lvlJc w:val="left"/>
      <w:pPr>
        <w:ind w:left="3840" w:hanging="360"/>
      </w:pPr>
      <w:rPr>
        <w:rFonts w:ascii="Courier New" w:eastAsia="Courier New" w:hAnsi="Courier New" w:cs="Courier New"/>
      </w:rPr>
    </w:lvl>
    <w:lvl w:ilvl="5">
      <w:start w:val="1"/>
      <w:numFmt w:val="bullet"/>
      <w:lvlText w:val="■"/>
      <w:lvlJc w:val="left"/>
      <w:pPr>
        <w:ind w:left="4560" w:hanging="360"/>
      </w:pPr>
      <w:rPr>
        <w:rFonts w:ascii="Noto Sans Symbols" w:eastAsia="Noto Sans Symbols" w:hAnsi="Noto Sans Symbols" w:cs="Noto Sans Symbols"/>
      </w:rPr>
    </w:lvl>
    <w:lvl w:ilvl="6">
      <w:start w:val="1"/>
      <w:numFmt w:val="bullet"/>
      <w:lvlText w:val="●"/>
      <w:lvlJc w:val="left"/>
      <w:pPr>
        <w:ind w:left="5280" w:hanging="360"/>
      </w:pPr>
      <w:rPr>
        <w:rFonts w:ascii="Noto Sans Symbols" w:eastAsia="Noto Sans Symbols" w:hAnsi="Noto Sans Symbols" w:cs="Noto Sans Symbols"/>
      </w:rPr>
    </w:lvl>
    <w:lvl w:ilvl="7">
      <w:start w:val="1"/>
      <w:numFmt w:val="bullet"/>
      <w:lvlText w:val="○"/>
      <w:lvlJc w:val="left"/>
      <w:pPr>
        <w:ind w:left="6000" w:hanging="360"/>
      </w:pPr>
      <w:rPr>
        <w:rFonts w:ascii="Courier New" w:eastAsia="Courier New" w:hAnsi="Courier New" w:cs="Courier New"/>
      </w:rPr>
    </w:lvl>
    <w:lvl w:ilvl="8">
      <w:start w:val="1"/>
      <w:numFmt w:val="bullet"/>
      <w:lvlText w:val="■"/>
      <w:lvlJc w:val="left"/>
      <w:pPr>
        <w:ind w:left="6720" w:hanging="360"/>
      </w:pPr>
      <w:rPr>
        <w:rFonts w:ascii="Noto Sans Symbols" w:eastAsia="Noto Sans Symbols" w:hAnsi="Noto Sans Symbols" w:cs="Noto Sans Symbols"/>
      </w:rPr>
    </w:lvl>
  </w:abstractNum>
  <w:abstractNum w:abstractNumId="1" w15:restartNumberingAfterBreak="0">
    <w:nsid w:val="27A23BA6"/>
    <w:multiLevelType w:val="multilevel"/>
    <w:tmpl w:val="0772F22C"/>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2" w15:restartNumberingAfterBreak="0">
    <w:nsid w:val="2A652732"/>
    <w:multiLevelType w:val="multilevel"/>
    <w:tmpl w:val="BABA0BAE"/>
    <w:lvl w:ilvl="0">
      <w:start w:val="1"/>
      <w:numFmt w:val="bullet"/>
      <w:lvlText w:val="●"/>
      <w:lvlJc w:val="left"/>
      <w:pPr>
        <w:ind w:left="960" w:hanging="360"/>
      </w:pPr>
      <w:rPr>
        <w:rFonts w:ascii="Noto Sans Symbols" w:eastAsia="Noto Sans Symbols" w:hAnsi="Noto Sans Symbols" w:cs="Noto Sans Symbols"/>
      </w:rPr>
    </w:lvl>
    <w:lvl w:ilvl="1">
      <w:start w:val="1"/>
      <w:numFmt w:val="bullet"/>
      <w:lvlText w:val="○"/>
      <w:lvlJc w:val="left"/>
      <w:pPr>
        <w:ind w:left="1680" w:hanging="360"/>
      </w:pPr>
      <w:rPr>
        <w:rFonts w:ascii="Courier New" w:eastAsia="Courier New" w:hAnsi="Courier New" w:cs="Courier New"/>
      </w:rPr>
    </w:lvl>
    <w:lvl w:ilvl="2">
      <w:start w:val="1"/>
      <w:numFmt w:val="bullet"/>
      <w:lvlText w:val="■"/>
      <w:lvlJc w:val="left"/>
      <w:pPr>
        <w:ind w:left="2400" w:hanging="360"/>
      </w:pPr>
      <w:rPr>
        <w:rFonts w:ascii="Noto Sans Symbols" w:eastAsia="Noto Sans Symbols" w:hAnsi="Noto Sans Symbols" w:cs="Noto Sans Symbols"/>
      </w:rPr>
    </w:lvl>
    <w:lvl w:ilvl="3">
      <w:start w:val="1"/>
      <w:numFmt w:val="bullet"/>
      <w:lvlText w:val="●"/>
      <w:lvlJc w:val="left"/>
      <w:pPr>
        <w:ind w:left="3120" w:hanging="360"/>
      </w:pPr>
      <w:rPr>
        <w:rFonts w:ascii="Noto Sans Symbols" w:eastAsia="Noto Sans Symbols" w:hAnsi="Noto Sans Symbols" w:cs="Noto Sans Symbols"/>
      </w:rPr>
    </w:lvl>
    <w:lvl w:ilvl="4">
      <w:start w:val="1"/>
      <w:numFmt w:val="bullet"/>
      <w:lvlText w:val="○"/>
      <w:lvlJc w:val="left"/>
      <w:pPr>
        <w:ind w:left="3840" w:hanging="360"/>
      </w:pPr>
      <w:rPr>
        <w:rFonts w:ascii="Courier New" w:eastAsia="Courier New" w:hAnsi="Courier New" w:cs="Courier New"/>
      </w:rPr>
    </w:lvl>
    <w:lvl w:ilvl="5">
      <w:start w:val="1"/>
      <w:numFmt w:val="bullet"/>
      <w:lvlText w:val="■"/>
      <w:lvlJc w:val="left"/>
      <w:pPr>
        <w:ind w:left="4560" w:hanging="360"/>
      </w:pPr>
      <w:rPr>
        <w:rFonts w:ascii="Noto Sans Symbols" w:eastAsia="Noto Sans Symbols" w:hAnsi="Noto Sans Symbols" w:cs="Noto Sans Symbols"/>
      </w:rPr>
    </w:lvl>
    <w:lvl w:ilvl="6">
      <w:start w:val="1"/>
      <w:numFmt w:val="bullet"/>
      <w:lvlText w:val="●"/>
      <w:lvlJc w:val="left"/>
      <w:pPr>
        <w:ind w:left="5280" w:hanging="360"/>
      </w:pPr>
      <w:rPr>
        <w:rFonts w:ascii="Noto Sans Symbols" w:eastAsia="Noto Sans Symbols" w:hAnsi="Noto Sans Symbols" w:cs="Noto Sans Symbols"/>
      </w:rPr>
    </w:lvl>
    <w:lvl w:ilvl="7">
      <w:start w:val="1"/>
      <w:numFmt w:val="bullet"/>
      <w:lvlText w:val="○"/>
      <w:lvlJc w:val="left"/>
      <w:pPr>
        <w:ind w:left="6000" w:hanging="360"/>
      </w:pPr>
      <w:rPr>
        <w:rFonts w:ascii="Courier New" w:eastAsia="Courier New" w:hAnsi="Courier New" w:cs="Courier New"/>
      </w:rPr>
    </w:lvl>
    <w:lvl w:ilvl="8">
      <w:start w:val="1"/>
      <w:numFmt w:val="bullet"/>
      <w:lvlText w:val="■"/>
      <w:lvlJc w:val="left"/>
      <w:pPr>
        <w:ind w:left="6720" w:hanging="360"/>
      </w:pPr>
      <w:rPr>
        <w:rFonts w:ascii="Noto Sans Symbols" w:eastAsia="Noto Sans Symbols" w:hAnsi="Noto Sans Symbols" w:cs="Noto Sans Symbols"/>
      </w:rPr>
    </w:lvl>
  </w:abstractNum>
  <w:abstractNum w:abstractNumId="3" w15:restartNumberingAfterBreak="0">
    <w:nsid w:val="43805977"/>
    <w:multiLevelType w:val="multilevel"/>
    <w:tmpl w:val="E7789162"/>
    <w:lvl w:ilvl="0">
      <w:start w:val="1"/>
      <w:numFmt w:val="decimal"/>
      <w:pStyle w:val="FAMainHeading"/>
      <w:lvlText w:val="%1."/>
      <w:lvlJc w:val="left"/>
      <w:pPr>
        <w:tabs>
          <w:tab w:val="num" w:pos="720"/>
        </w:tabs>
        <w:ind w:left="720" w:hanging="720"/>
      </w:pPr>
    </w:lvl>
    <w:lvl w:ilvl="1">
      <w:start w:val="1"/>
      <w:numFmt w:val="decimal"/>
      <w:pStyle w:val="FALevel1"/>
      <w:lvlText w:val="%2."/>
      <w:lvlJc w:val="left"/>
      <w:pPr>
        <w:tabs>
          <w:tab w:val="num" w:pos="1440"/>
        </w:tabs>
        <w:ind w:left="1440" w:hanging="720"/>
      </w:pPr>
    </w:lvl>
    <w:lvl w:ilvl="2">
      <w:start w:val="1"/>
      <w:numFmt w:val="decimal"/>
      <w:pStyle w:val="FALevel2"/>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6E15C01"/>
    <w:multiLevelType w:val="multilevel"/>
    <w:tmpl w:val="BBF2CC42"/>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55D2253C"/>
    <w:multiLevelType w:val="multilevel"/>
    <w:tmpl w:val="31448386"/>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56181CDF"/>
    <w:multiLevelType w:val="multilevel"/>
    <w:tmpl w:val="97669004"/>
    <w:lvl w:ilvl="0">
      <w:start w:val="1"/>
      <w:numFmt w:val="bullet"/>
      <w:lvlText w:val="●"/>
      <w:lvlJc w:val="left"/>
      <w:pPr>
        <w:ind w:left="960" w:hanging="360"/>
      </w:pPr>
      <w:rPr>
        <w:rFonts w:ascii="Noto Sans Symbols" w:eastAsia="Noto Sans Symbols" w:hAnsi="Noto Sans Symbols" w:cs="Noto Sans Symbols"/>
      </w:rPr>
    </w:lvl>
    <w:lvl w:ilvl="1">
      <w:start w:val="1"/>
      <w:numFmt w:val="bullet"/>
      <w:lvlText w:val="○"/>
      <w:lvlJc w:val="left"/>
      <w:pPr>
        <w:ind w:left="1680" w:hanging="360"/>
      </w:pPr>
      <w:rPr>
        <w:rFonts w:ascii="Courier New" w:eastAsia="Courier New" w:hAnsi="Courier New" w:cs="Courier New"/>
      </w:rPr>
    </w:lvl>
    <w:lvl w:ilvl="2">
      <w:start w:val="1"/>
      <w:numFmt w:val="bullet"/>
      <w:lvlText w:val="■"/>
      <w:lvlJc w:val="left"/>
      <w:pPr>
        <w:ind w:left="2400" w:hanging="360"/>
      </w:pPr>
      <w:rPr>
        <w:rFonts w:ascii="Noto Sans Symbols" w:eastAsia="Noto Sans Symbols" w:hAnsi="Noto Sans Symbols" w:cs="Noto Sans Symbols"/>
      </w:rPr>
    </w:lvl>
    <w:lvl w:ilvl="3">
      <w:start w:val="1"/>
      <w:numFmt w:val="bullet"/>
      <w:lvlText w:val="●"/>
      <w:lvlJc w:val="left"/>
      <w:pPr>
        <w:ind w:left="3120" w:hanging="360"/>
      </w:pPr>
      <w:rPr>
        <w:rFonts w:ascii="Noto Sans Symbols" w:eastAsia="Noto Sans Symbols" w:hAnsi="Noto Sans Symbols" w:cs="Noto Sans Symbols"/>
      </w:rPr>
    </w:lvl>
    <w:lvl w:ilvl="4">
      <w:start w:val="1"/>
      <w:numFmt w:val="bullet"/>
      <w:lvlText w:val="○"/>
      <w:lvlJc w:val="left"/>
      <w:pPr>
        <w:ind w:left="3840" w:hanging="360"/>
      </w:pPr>
      <w:rPr>
        <w:rFonts w:ascii="Courier New" w:eastAsia="Courier New" w:hAnsi="Courier New" w:cs="Courier New"/>
      </w:rPr>
    </w:lvl>
    <w:lvl w:ilvl="5">
      <w:start w:val="1"/>
      <w:numFmt w:val="bullet"/>
      <w:lvlText w:val="■"/>
      <w:lvlJc w:val="left"/>
      <w:pPr>
        <w:ind w:left="4560" w:hanging="360"/>
      </w:pPr>
      <w:rPr>
        <w:rFonts w:ascii="Noto Sans Symbols" w:eastAsia="Noto Sans Symbols" w:hAnsi="Noto Sans Symbols" w:cs="Noto Sans Symbols"/>
      </w:rPr>
    </w:lvl>
    <w:lvl w:ilvl="6">
      <w:start w:val="1"/>
      <w:numFmt w:val="bullet"/>
      <w:lvlText w:val="●"/>
      <w:lvlJc w:val="left"/>
      <w:pPr>
        <w:ind w:left="5280" w:hanging="360"/>
      </w:pPr>
      <w:rPr>
        <w:rFonts w:ascii="Noto Sans Symbols" w:eastAsia="Noto Sans Symbols" w:hAnsi="Noto Sans Symbols" w:cs="Noto Sans Symbols"/>
      </w:rPr>
    </w:lvl>
    <w:lvl w:ilvl="7">
      <w:start w:val="1"/>
      <w:numFmt w:val="bullet"/>
      <w:lvlText w:val="○"/>
      <w:lvlJc w:val="left"/>
      <w:pPr>
        <w:ind w:left="6000" w:hanging="360"/>
      </w:pPr>
      <w:rPr>
        <w:rFonts w:ascii="Courier New" w:eastAsia="Courier New" w:hAnsi="Courier New" w:cs="Courier New"/>
      </w:rPr>
    </w:lvl>
    <w:lvl w:ilvl="8">
      <w:start w:val="1"/>
      <w:numFmt w:val="bullet"/>
      <w:lvlText w:val="■"/>
      <w:lvlJc w:val="left"/>
      <w:pPr>
        <w:ind w:left="6720" w:hanging="360"/>
      </w:pPr>
      <w:rPr>
        <w:rFonts w:ascii="Noto Sans Symbols" w:eastAsia="Noto Sans Symbols" w:hAnsi="Noto Sans Symbols" w:cs="Noto Sans Symbols"/>
      </w:rPr>
    </w:lvl>
  </w:abstractNum>
  <w:abstractNum w:abstractNumId="7" w15:restartNumberingAfterBreak="0">
    <w:nsid w:val="661D2B1F"/>
    <w:multiLevelType w:val="multilevel"/>
    <w:tmpl w:val="E1B8EA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6"/>
  </w:num>
  <w:num w:numId="2">
    <w:abstractNumId w:val="2"/>
  </w:num>
  <w:num w:numId="3">
    <w:abstractNumId w:val="4"/>
  </w:num>
  <w:num w:numId="4">
    <w:abstractNumId w:val="5"/>
  </w:num>
  <w:num w:numId="5">
    <w:abstractNumId w:val="1"/>
  </w:num>
  <w:num w:numId="6">
    <w:abstractNumId w:val="0"/>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7F6"/>
    <w:rsid w:val="000349E5"/>
    <w:rsid w:val="000D16AD"/>
    <w:rsid w:val="000E07F6"/>
    <w:rsid w:val="00751CE9"/>
    <w:rsid w:val="008365A0"/>
    <w:rsid w:val="00A258F8"/>
    <w:rsid w:val="00D60F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CCDF2"/>
  <w15:docId w15:val="{85C86EE1-3B9C-E742-9A30-E904C8A14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US"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32FD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style>
  <w:style w:type="numbering" w:customStyle="1" w:styleId="WWNum1">
    <w:name w:val="WWNum1"/>
    <w:basedOn w:val="NoList"/>
  </w:style>
  <w:style w:type="numbering" w:customStyle="1" w:styleId="WWNum2">
    <w:name w:val="WWNum2"/>
    <w:basedOn w:val="NoList"/>
  </w:style>
  <w:style w:type="numbering" w:customStyle="1" w:styleId="WWNum3">
    <w:name w:val="WWNum3"/>
    <w:basedOn w:val="NoList"/>
  </w:style>
  <w:style w:type="numbering" w:customStyle="1" w:styleId="WWNum4">
    <w:name w:val="WWNum4"/>
    <w:basedOn w:val="NoList"/>
  </w:style>
  <w:style w:type="numbering" w:customStyle="1" w:styleId="WWNum5">
    <w:name w:val="WWNum5"/>
    <w:basedOn w:val="NoList"/>
  </w:style>
  <w:style w:type="numbering" w:customStyle="1" w:styleId="WWNum6">
    <w:name w:val="WWNum6"/>
    <w:basedOn w:val="NoList"/>
  </w:style>
  <w:style w:type="numbering" w:customStyle="1" w:styleId="WWNum7">
    <w:name w:val="WWNum7"/>
    <w:basedOn w:val="NoList"/>
  </w:style>
  <w:style w:type="numbering" w:customStyle="1" w:styleId="WWNum8">
    <w:name w:val="WWNum8"/>
    <w:basedOn w:val="NoList"/>
  </w:style>
  <w:style w:type="numbering" w:customStyle="1" w:styleId="WWNum9">
    <w:name w:val="WWNum9"/>
    <w:basedOn w:val="NoList"/>
  </w:style>
  <w:style w:type="numbering" w:customStyle="1" w:styleId="WWNum10">
    <w:name w:val="WWNum10"/>
    <w:basedOn w:val="NoList"/>
  </w:style>
  <w:style w:type="numbering" w:customStyle="1" w:styleId="WWNum11">
    <w:name w:val="WWNum11"/>
    <w:basedOn w:val="NoList"/>
  </w:style>
  <w:style w:type="numbering" w:customStyle="1" w:styleId="WWNum12">
    <w:name w:val="WWNum12"/>
    <w:basedOn w:val="NoList"/>
  </w:style>
  <w:style w:type="numbering" w:customStyle="1" w:styleId="WWNum13">
    <w:name w:val="WWNum13"/>
    <w:basedOn w:val="NoList"/>
  </w:style>
  <w:style w:type="table" w:styleId="TableGrid">
    <w:name w:val="Table Grid"/>
    <w:basedOn w:val="TableNormal"/>
    <w:uiPriority w:val="5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MainHeading">
    <w:name w:val="FA: Main Heading"/>
    <w:basedOn w:val="Heading1"/>
    <w:qFormat/>
    <w:rsid w:val="00532FDD"/>
    <w:pPr>
      <w:numPr>
        <w:numId w:val="8"/>
      </w:numPr>
      <w:tabs>
        <w:tab w:val="num" w:pos="360"/>
      </w:tabs>
      <w:spacing w:before="20" w:after="20"/>
      <w:ind w:left="0" w:firstLine="0"/>
    </w:pPr>
    <w:rPr>
      <w:rFonts w:ascii="Arial" w:eastAsia="Calibri" w:hAnsi="Arial" w:cs="Arial"/>
      <w:b/>
      <w:color w:val="auto"/>
      <w:sz w:val="22"/>
      <w:szCs w:val="36"/>
    </w:rPr>
  </w:style>
  <w:style w:type="paragraph" w:customStyle="1" w:styleId="FALevel1">
    <w:name w:val="FA: Level 1"/>
    <w:basedOn w:val="Normal"/>
    <w:link w:val="FALevel1Char"/>
    <w:qFormat/>
    <w:rsid w:val="00532FDD"/>
    <w:pPr>
      <w:widowControl/>
      <w:numPr>
        <w:ilvl w:val="1"/>
        <w:numId w:val="8"/>
      </w:numPr>
      <w:spacing w:before="120" w:after="280" w:line="259" w:lineRule="auto"/>
    </w:pPr>
    <w:rPr>
      <w:rFonts w:ascii="Arial" w:eastAsiaTheme="minorHAnsi" w:hAnsi="Arial" w:cs="Arial"/>
    </w:rPr>
  </w:style>
  <w:style w:type="character" w:customStyle="1" w:styleId="FALevel1Char">
    <w:name w:val="FA: Level 1 Char"/>
    <w:basedOn w:val="DefaultParagraphFont"/>
    <w:link w:val="FALevel1"/>
    <w:rsid w:val="00532FDD"/>
    <w:rPr>
      <w:rFonts w:ascii="Arial" w:eastAsiaTheme="minorHAnsi" w:hAnsi="Arial" w:cs="Arial"/>
    </w:rPr>
  </w:style>
  <w:style w:type="paragraph" w:customStyle="1" w:styleId="FALevel2">
    <w:name w:val="FA: Level 2"/>
    <w:basedOn w:val="Normal"/>
    <w:link w:val="FALevel2Char"/>
    <w:qFormat/>
    <w:rsid w:val="00532FDD"/>
    <w:pPr>
      <w:widowControl/>
      <w:numPr>
        <w:ilvl w:val="2"/>
        <w:numId w:val="8"/>
      </w:numPr>
      <w:spacing w:before="120" w:after="280" w:line="259" w:lineRule="auto"/>
    </w:pPr>
    <w:rPr>
      <w:rFonts w:ascii="Arial" w:eastAsiaTheme="minorHAnsi" w:hAnsi="Arial" w:cs="Arial"/>
    </w:rPr>
  </w:style>
  <w:style w:type="character" w:customStyle="1" w:styleId="FALevel2Char">
    <w:name w:val="FA: Level 2 Char"/>
    <w:basedOn w:val="DefaultParagraphFont"/>
    <w:link w:val="FALevel2"/>
    <w:rsid w:val="00532FDD"/>
    <w:rPr>
      <w:rFonts w:ascii="Arial" w:eastAsiaTheme="minorHAnsi" w:hAnsi="Arial" w:cs="Arial"/>
    </w:rPr>
  </w:style>
  <w:style w:type="character" w:customStyle="1" w:styleId="Heading1Char">
    <w:name w:val="Heading 1 Char"/>
    <w:basedOn w:val="DefaultParagraphFont"/>
    <w:link w:val="Heading1"/>
    <w:uiPriority w:val="9"/>
    <w:rsid w:val="00532FDD"/>
    <w:rPr>
      <w:rFonts w:asciiTheme="majorHAnsi" w:eastAsiaTheme="majorEastAsia" w:hAnsiTheme="majorHAnsi" w:cstheme="majorBidi"/>
      <w:color w:val="2F5496" w:themeColor="accent1" w:themeShade="BF"/>
      <w:sz w:val="32"/>
      <w:szCs w:val="32"/>
    </w:rPr>
  </w:style>
  <w:style w:type="paragraph" w:customStyle="1" w:styleId="FABulletPoints">
    <w:name w:val="FA: Bullet Points"/>
    <w:basedOn w:val="Normal"/>
    <w:link w:val="FABulletPointsChar"/>
    <w:qFormat/>
    <w:rsid w:val="00532FDD"/>
    <w:pPr>
      <w:widowControl/>
      <w:tabs>
        <w:tab w:val="num" w:pos="720"/>
      </w:tabs>
      <w:ind w:left="720" w:hanging="720"/>
    </w:pPr>
    <w:rPr>
      <w:rFonts w:ascii="Arial" w:eastAsiaTheme="minorHAnsi" w:hAnsi="Arial" w:cs="Arial"/>
    </w:rPr>
  </w:style>
  <w:style w:type="character" w:customStyle="1" w:styleId="FABulletPointsChar">
    <w:name w:val="FA: Bullet Points Char"/>
    <w:basedOn w:val="DefaultParagraphFont"/>
    <w:link w:val="FABulletPoints"/>
    <w:rsid w:val="00532FDD"/>
    <w:rPr>
      <w:rFonts w:ascii="Arial" w:eastAsiaTheme="minorHAnsi" w:hAnsi="Arial" w:cs="Arial"/>
    </w:rPr>
  </w:style>
  <w:style w:type="paragraph" w:styleId="Revision">
    <w:name w:val="Revision"/>
    <w:hidden/>
    <w:uiPriority w:val="99"/>
    <w:semiHidden/>
    <w:rsid w:val="00CE0EDB"/>
    <w:pPr>
      <w:widowControl/>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CE3C48"/>
    <w:pPr>
      <w:ind w:left="720"/>
      <w:contextualSpacing/>
    </w:p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character" w:styleId="PlaceholderText">
    <w:name w:val="Placeholder Text"/>
    <w:basedOn w:val="DefaultParagraphFont"/>
    <w:uiPriority w:val="99"/>
    <w:semiHidden/>
    <w:rsid w:val="00761F80"/>
    <w:rPr>
      <w:color w:val="808080"/>
    </w:r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package" Target="embeddings/Microsoft_Word_Document.doc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publications/procurement-policy-note-0620-taking-account-of-social-value-in-the-award-of-central-government-contracts" TargetMode="External"/><Relationship Id="rId2" Type="http://schemas.openxmlformats.org/officeDocument/2006/relationships/hyperlink" Target="https://www.gov.uk/government/publications/procurement-policy-note-0620-taking-account-of-social-value-in-the-award-of-central-government-contracts" TargetMode="External"/><Relationship Id="rId1" Type="http://schemas.openxmlformats.org/officeDocument/2006/relationships/hyperlink" Target="https://www.gov.uk/government/publications/procurement-policy-note-0620-taking-account-of-social-value-in-the-award-of-central-government-contrac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6Opu68kNWE0BugAe85XoDmCSt9w==">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4351</Words>
  <Characters>24802</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Erin McNeil</cp:lastModifiedBy>
  <cp:revision>2</cp:revision>
  <dcterms:created xsi:type="dcterms:W3CDTF">2021-04-30T09:16:00Z</dcterms:created>
  <dcterms:modified xsi:type="dcterms:W3CDTF">2021-04-30T09:16:00Z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